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bookmarkStart w:id="0" w:name="_GoBack"/>
            <w:bookmarkEnd w:id="0"/>
          </w:p>
        </w:tc>
        <w:tc>
          <w:tcPr>
            <w:tcW w:w="3771" w:type="dxa"/>
          </w:tcPr>
          <w:p w:rsidR="0094424E" w:rsidRDefault="0094424E" w:rsidP="00324FDA">
            <w:pPr>
              <w:suppressLineNumbers/>
              <w:jc w:val="right"/>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121</w:t>
                </w:r>
              </w:sdtContent>
            </w:sdt>
          </w:p>
        </w:tc>
      </w:tr>
      <w:tr w:rsidR="0094424E">
        <w:trPr>
          <w:jc w:val="center"/>
        </w:trPr>
        <w:tc>
          <w:tcPr>
            <w:tcW w:w="743" w:type="dxa"/>
          </w:tcPr>
          <w:p w:rsidR="0094424E" w:rsidRDefault="0094424E" w:rsidP="00D44968">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גילה ספרא-ברנע</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sdt>
            <w:sdtPr>
              <w:rPr>
                <w:rtl/>
              </w:rPr>
              <w:alias w:val="1180"/>
              <w:tag w:val="1180"/>
              <w:id w:val="637458750"/>
              <w:text w:multiLine="1"/>
            </w:sdtPr>
            <w:sdtEndPr/>
            <w:sdtContent>
              <w:p w:rsidR="00670EAC" w:rsidRDefault="00E968D6">
                <w:pPr>
                  <w:suppressLineNumbers/>
                  <w:rPr>
                    <w:rFonts w:ascii="Arial" w:hAnsi="Arial"/>
                    <w:b/>
                    <w:bCs/>
                    <w:noProof w:val="0"/>
                    <w:sz w:val="26"/>
                    <w:szCs w:val="26"/>
                    <w:rtl/>
                  </w:rPr>
                </w:pPr>
                <w:r>
                  <w:rPr>
                    <w:rFonts w:ascii="Arial" w:hAnsi="Arial" w:hint="cs"/>
                    <w:b/>
                    <w:bCs/>
                    <w:noProof w:val="0"/>
                    <w:sz w:val="26"/>
                    <w:szCs w:val="26"/>
                    <w:rtl/>
                  </w:rPr>
                  <w:t>ה</w:t>
                </w:r>
                <w:r>
                  <w:rPr>
                    <w:rFonts w:ascii="Arial" w:hAnsi="Arial"/>
                    <w:b/>
                    <w:bCs/>
                    <w:noProof w:val="0"/>
                    <w:sz w:val="26"/>
                    <w:szCs w:val="26"/>
                    <w:rtl/>
                  </w:rPr>
                  <w:t>מבקש</w:t>
                </w:r>
                <w:r>
                  <w:rPr>
                    <w:rFonts w:ascii="Arial" w:hAnsi="Arial" w:hint="cs"/>
                    <w:b/>
                    <w:bCs/>
                    <w:noProof w:val="0"/>
                    <w:sz w:val="26"/>
                    <w:szCs w:val="26"/>
                    <w:rtl/>
                  </w:rPr>
                  <w:t>ת</w:t>
                </w:r>
              </w:p>
            </w:sdtContent>
          </w:sdt>
        </w:tc>
        <w:tc>
          <w:tcPr>
            <w:tcW w:w="5571" w:type="dxa"/>
            <w:gridSpan w:val="2"/>
          </w:tcPr>
          <w:p w:rsidR="0094424E" w:rsidRDefault="00284EA7" w:rsidP="00324FDA">
            <w:pPr>
              <w:suppressLineNumbers/>
              <w:rPr>
                <w:rFonts w:ascii="Arial" w:hAnsi="Arial"/>
                <w:b/>
                <w:bCs/>
                <w:noProof w:val="0"/>
                <w:sz w:val="26"/>
                <w:szCs w:val="26"/>
                <w:rtl/>
              </w:rPr>
            </w:pPr>
            <w:sdt>
              <w:sdtPr>
                <w:rPr>
                  <w:rFonts w:ascii="Arial" w:hAnsi="Arial"/>
                  <w:b/>
                  <w:bCs/>
                  <w:noProof w:val="0"/>
                  <w:sz w:val="26"/>
                  <w:szCs w:val="26"/>
                  <w:rtl/>
                </w:rPr>
                <w:alias w:val="1478"/>
                <w:tag w:val="1478"/>
                <w:id w:val="-2076122985"/>
                <w:text w:multiLine="1"/>
              </w:sdtPr>
              <w:sdtEndPr/>
              <w:sdtContent>
                <w:r w:rsidR="00897DAF">
                  <w:rPr>
                    <w:rFonts w:ascii="Arial" w:hAnsi="Arial"/>
                    <w:b/>
                    <w:bCs/>
                    <w:noProof w:val="0"/>
                    <w:sz w:val="26"/>
                    <w:szCs w:val="26"/>
                    <w:rtl/>
                  </w:rPr>
                  <w:t>היועץ המשפטי לממשלה</w:t>
                </w:r>
              </w:sdtContent>
            </w:sdt>
            <w:r w:rsidR="00E54CD9" w:rsidRPr="00E54CD9">
              <w:rPr>
                <w:rFonts w:ascii="Arial" w:hAnsi="Arial" w:hint="cs"/>
                <w:b/>
                <w:bCs/>
                <w:noProof w:val="0"/>
                <w:sz w:val="26"/>
                <w:szCs w:val="26"/>
                <w:rtl/>
              </w:rPr>
              <w:t xml:space="preserve"> </w:t>
            </w:r>
          </w:p>
          <w:p w:rsidR="00E968D6" w:rsidRPr="00E968D6" w:rsidRDefault="00E968D6" w:rsidP="00897DAF">
            <w:pPr>
              <w:suppressLineNumbers/>
              <w:rPr>
                <w:noProof w:val="0"/>
                <w:sz w:val="26"/>
                <w:szCs w:val="26"/>
              </w:rPr>
            </w:pPr>
            <w:r w:rsidRPr="003462BD">
              <w:rPr>
                <w:rFonts w:hint="cs"/>
                <w:noProof w:val="0"/>
                <w:rtl/>
              </w:rPr>
              <w:t>ע"י פרקליטות מחוז חיפה- אזרחי</w:t>
            </w:r>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284EA7" w:rsidP="00A3699C">
            <w:pPr>
              <w:suppressLineNumbers/>
              <w:rPr>
                <w:b/>
                <w:bCs/>
                <w:rtl/>
              </w:rPr>
            </w:pPr>
            <w:sdt>
              <w:sdtPr>
                <w:rPr>
                  <w:b/>
                  <w:bCs/>
                  <w:rtl/>
                </w:rPr>
                <w:alias w:val="1184"/>
                <w:tag w:val="1184"/>
                <w:id w:val="-340621022"/>
                <w:text w:multiLine="1"/>
              </w:sdtPr>
              <w:sdtEndPr/>
              <w:sdtContent>
                <w:r w:rsidR="00E968D6" w:rsidRPr="00F80AC0">
                  <w:rPr>
                    <w:rFonts w:ascii="Arial" w:hAnsi="Arial" w:hint="cs"/>
                    <w:b/>
                    <w:bCs/>
                    <w:noProof w:val="0"/>
                    <w:sz w:val="26"/>
                    <w:szCs w:val="26"/>
                    <w:rtl/>
                  </w:rPr>
                  <w:t>ה</w:t>
                </w:r>
                <w:r w:rsidR="00897DAF" w:rsidRPr="00F80AC0">
                  <w:rPr>
                    <w:rFonts w:ascii="Arial" w:hAnsi="Arial"/>
                    <w:b/>
                    <w:bCs/>
                    <w:noProof w:val="0"/>
                    <w:sz w:val="26"/>
                    <w:szCs w:val="26"/>
                    <w:rtl/>
                  </w:rPr>
                  <w:t>משיבים</w:t>
                </w:r>
              </w:sdtContent>
            </w:sdt>
            <w:r w:rsidR="00A3699C">
              <w:rPr>
                <w:rFonts w:hint="cs"/>
                <w:b/>
                <w:bCs/>
                <w:rtl/>
              </w:rPr>
              <w:t>/ הנתבעת</w:t>
            </w:r>
          </w:p>
          <w:p w:rsidR="00A3699C" w:rsidRDefault="00A3699C" w:rsidP="00A3699C">
            <w:pPr>
              <w:suppressLineNumbers/>
              <w:rPr>
                <w:rFonts w:ascii="Arial" w:hAnsi="Arial"/>
                <w:b/>
                <w:bCs/>
                <w:rtl/>
              </w:rPr>
            </w:pPr>
          </w:p>
          <w:p w:rsidR="00A3699C" w:rsidRDefault="00A3699C" w:rsidP="00A3699C">
            <w:pPr>
              <w:suppressLineNumbers/>
              <w:rPr>
                <w:rFonts w:ascii="Arial" w:hAnsi="Arial"/>
                <w:b/>
                <w:bCs/>
                <w:noProof w:val="0"/>
                <w:sz w:val="26"/>
                <w:szCs w:val="26"/>
              </w:rPr>
            </w:pPr>
            <w:r>
              <w:rPr>
                <w:rFonts w:ascii="Arial" w:hAnsi="Arial" w:hint="cs"/>
                <w:b/>
                <w:bCs/>
                <w:rtl/>
              </w:rPr>
              <w:t>התובעים</w:t>
            </w:r>
          </w:p>
        </w:tc>
        <w:tc>
          <w:tcPr>
            <w:tcW w:w="5571" w:type="dxa"/>
            <w:gridSpan w:val="2"/>
          </w:tcPr>
          <w:p w:rsidR="00F400AD" w:rsidRDefault="00284EA7" w:rsidP="00F400AD">
            <w:pPr>
              <w:suppressLineNumbers/>
              <w:rPr>
                <w:rFonts w:ascii="Arial" w:hAnsi="Arial"/>
                <w:noProof w:val="0"/>
                <w:rtl/>
              </w:rPr>
            </w:pPr>
            <w:sdt>
              <w:sdtPr>
                <w:rPr>
                  <w:rtl/>
                </w:rPr>
                <w:alias w:val="1571"/>
                <w:tag w:val="1571"/>
                <w:id w:val="1028836282"/>
                <w:text w:multiLine="1"/>
              </w:sdtPr>
              <w:sdtEndPr/>
              <w:sdtContent>
                <w:r w:rsidR="00897DAF">
                  <w:rPr>
                    <w:rFonts w:ascii="Arial" w:hAnsi="Arial"/>
                    <w:b/>
                    <w:bCs/>
                    <w:noProof w:val="0"/>
                    <w:sz w:val="26"/>
                    <w:szCs w:val="26"/>
                    <w:rtl/>
                  </w:rPr>
                  <w:t>1</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tl/>
                </w:rPr>
                <w:alias w:val="1486"/>
                <w:tag w:val="1486"/>
                <w:id w:val="-309872140"/>
                <w:text w:multiLine="1"/>
              </w:sdtPr>
              <w:sdtEndPr/>
              <w:sdtContent>
                <w:r w:rsidR="00897DAF">
                  <w:rPr>
                    <w:rFonts w:ascii="Arial" w:hAnsi="Arial"/>
                    <w:b/>
                    <w:bCs/>
                    <w:noProof w:val="0"/>
                    <w:sz w:val="26"/>
                    <w:szCs w:val="26"/>
                    <w:rtl/>
                  </w:rPr>
                  <w:t>א</w:t>
                </w:r>
                <w:r w:rsidR="00F400AD">
                  <w:rPr>
                    <w:rFonts w:ascii="Arial" w:hAnsi="Arial" w:hint="cs"/>
                    <w:b/>
                    <w:bCs/>
                    <w:noProof w:val="0"/>
                    <w:sz w:val="26"/>
                    <w:szCs w:val="26"/>
                    <w:rtl/>
                  </w:rPr>
                  <w:t>' ר'</w:t>
                </w:r>
              </w:sdtContent>
            </w:sdt>
          </w:p>
          <w:p w:rsidR="000438FF" w:rsidRDefault="000438FF" w:rsidP="00F400AD">
            <w:pPr>
              <w:suppressLineNumbers/>
              <w:rPr>
                <w:rFonts w:ascii="Arial" w:hAnsi="Arial"/>
                <w:b/>
                <w:bCs/>
                <w:noProof w:val="0"/>
                <w:sz w:val="26"/>
                <w:szCs w:val="26"/>
                <w:rtl/>
              </w:rPr>
            </w:pPr>
            <w:r w:rsidRPr="003462BD">
              <w:rPr>
                <w:rFonts w:ascii="Arial" w:hAnsi="Arial" w:hint="cs"/>
                <w:noProof w:val="0"/>
                <w:rtl/>
              </w:rPr>
              <w:t xml:space="preserve">ע"י ב"כ </w:t>
            </w:r>
            <w:r w:rsidR="00A3699C">
              <w:rPr>
                <w:rFonts w:ascii="Arial" w:hAnsi="Arial" w:hint="cs"/>
                <w:noProof w:val="0"/>
                <w:rtl/>
              </w:rPr>
              <w:t xml:space="preserve">1. </w:t>
            </w:r>
            <w:r w:rsidRPr="003462BD">
              <w:rPr>
                <w:rFonts w:ascii="Arial" w:hAnsi="Arial" w:hint="cs"/>
                <w:noProof w:val="0"/>
                <w:rtl/>
              </w:rPr>
              <w:t>עוה"ד לוסי מאיר</w:t>
            </w:r>
          </w:p>
          <w:p w:rsidR="00F400AD" w:rsidRDefault="00284EA7" w:rsidP="00F400AD">
            <w:pPr>
              <w:suppressLineNumbers/>
              <w:rPr>
                <w:rtl/>
              </w:rPr>
            </w:pPr>
            <w:sdt>
              <w:sdtPr>
                <w:rPr>
                  <w:rtl/>
                </w:rPr>
                <w:alias w:val="1571"/>
                <w:tag w:val="1571"/>
                <w:id w:val="-1959167858"/>
                <w:text w:multiLine="1"/>
              </w:sdtPr>
              <w:sdtEndPr/>
              <w:sdtContent>
                <w:r w:rsidR="00897DAF">
                  <w:rPr>
                    <w:rFonts w:ascii="Arial" w:hAnsi="Arial"/>
                    <w:b/>
                    <w:bCs/>
                    <w:noProof w:val="0"/>
                    <w:sz w:val="26"/>
                    <w:szCs w:val="26"/>
                    <w:rtl/>
                  </w:rPr>
                  <w:t>2</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tl/>
                </w:rPr>
                <w:alias w:val="1486"/>
                <w:tag w:val="1486"/>
                <w:id w:val="497541461"/>
                <w:text w:multiLine="1"/>
              </w:sdtPr>
              <w:sdtEndPr/>
              <w:sdtContent>
                <w:r w:rsidR="00897DAF">
                  <w:rPr>
                    <w:rFonts w:ascii="Arial" w:hAnsi="Arial"/>
                    <w:b/>
                    <w:bCs/>
                    <w:noProof w:val="0"/>
                    <w:sz w:val="26"/>
                    <w:szCs w:val="26"/>
                    <w:rtl/>
                  </w:rPr>
                  <w:t>מ</w:t>
                </w:r>
                <w:r w:rsidR="00F400AD">
                  <w:rPr>
                    <w:rFonts w:ascii="Arial" w:hAnsi="Arial" w:hint="cs"/>
                    <w:b/>
                    <w:bCs/>
                    <w:noProof w:val="0"/>
                    <w:sz w:val="26"/>
                    <w:szCs w:val="26"/>
                    <w:rtl/>
                  </w:rPr>
                  <w:t>' א' ר'</w:t>
                </w:r>
              </w:sdtContent>
            </w:sdt>
          </w:p>
          <w:p w:rsidR="00F400AD" w:rsidRDefault="00284EA7" w:rsidP="00F400AD">
            <w:pPr>
              <w:suppressLineNumbers/>
              <w:rPr>
                <w:rFonts w:ascii="Arial" w:hAnsi="Arial"/>
                <w:noProof w:val="0"/>
                <w:rtl/>
              </w:rPr>
            </w:pPr>
            <w:sdt>
              <w:sdtPr>
                <w:rPr>
                  <w:rtl/>
                </w:rPr>
                <w:alias w:val="1571"/>
                <w:tag w:val="1571"/>
                <w:id w:val="258883843"/>
                <w:text w:multiLine="1"/>
              </w:sdtPr>
              <w:sdtEndPr/>
              <w:sdtContent>
                <w:r w:rsidR="00897DAF">
                  <w:rPr>
                    <w:rFonts w:ascii="Arial" w:hAnsi="Arial"/>
                    <w:b/>
                    <w:bCs/>
                    <w:noProof w:val="0"/>
                    <w:sz w:val="26"/>
                    <w:szCs w:val="26"/>
                    <w:rtl/>
                  </w:rPr>
                  <w:t>3</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tl/>
                </w:rPr>
                <w:alias w:val="1486"/>
                <w:tag w:val="1486"/>
                <w:id w:val="-1665770344"/>
                <w:text w:multiLine="1"/>
              </w:sdtPr>
              <w:sdtEndPr/>
              <w:sdtContent>
                <w:r w:rsidR="00897DAF">
                  <w:rPr>
                    <w:rFonts w:ascii="Arial" w:hAnsi="Arial"/>
                    <w:b/>
                    <w:bCs/>
                    <w:noProof w:val="0"/>
                    <w:sz w:val="26"/>
                    <w:szCs w:val="26"/>
                    <w:rtl/>
                  </w:rPr>
                  <w:t>ח</w:t>
                </w:r>
                <w:r w:rsidR="00F400AD">
                  <w:rPr>
                    <w:rFonts w:ascii="Arial" w:hAnsi="Arial" w:hint="cs"/>
                    <w:b/>
                    <w:bCs/>
                    <w:noProof w:val="0"/>
                    <w:sz w:val="26"/>
                    <w:szCs w:val="26"/>
                    <w:rtl/>
                  </w:rPr>
                  <w:t xml:space="preserve">' </w:t>
                </w:r>
                <w:r w:rsidR="00897DAF">
                  <w:rPr>
                    <w:rFonts w:ascii="Arial" w:hAnsi="Arial"/>
                    <w:b/>
                    <w:bCs/>
                    <w:noProof w:val="0"/>
                    <w:sz w:val="26"/>
                    <w:szCs w:val="26"/>
                    <w:rtl/>
                  </w:rPr>
                  <w:t>ר</w:t>
                </w:r>
                <w:r w:rsidR="00F400AD">
                  <w:rPr>
                    <w:rFonts w:ascii="Arial" w:hAnsi="Arial" w:hint="cs"/>
                    <w:b/>
                    <w:bCs/>
                    <w:noProof w:val="0"/>
                    <w:sz w:val="26"/>
                    <w:szCs w:val="26"/>
                    <w:rtl/>
                  </w:rPr>
                  <w:t>'</w:t>
                </w:r>
              </w:sdtContent>
            </w:sdt>
            <w:r w:rsidR="00E54CD9">
              <w:rPr>
                <w:rFonts w:hint="cs"/>
                <w:rtl/>
              </w:rPr>
              <w:t xml:space="preserve"> </w:t>
            </w:r>
          </w:p>
          <w:p w:rsidR="000438FF" w:rsidRPr="000438FF" w:rsidRDefault="000438FF" w:rsidP="00F400AD">
            <w:pPr>
              <w:suppressLineNumbers/>
              <w:rPr>
                <w:rFonts w:ascii="Arial" w:hAnsi="Arial"/>
                <w:noProof w:val="0"/>
                <w:sz w:val="26"/>
                <w:szCs w:val="26"/>
                <w:rtl/>
              </w:rPr>
            </w:pPr>
            <w:r w:rsidRPr="003462BD">
              <w:rPr>
                <w:rFonts w:ascii="Arial" w:hAnsi="Arial" w:hint="cs"/>
                <w:noProof w:val="0"/>
                <w:rtl/>
              </w:rPr>
              <w:t xml:space="preserve">ע"י ב"כ </w:t>
            </w:r>
            <w:r w:rsidR="00A3699C">
              <w:rPr>
                <w:rFonts w:ascii="Arial" w:hAnsi="Arial" w:hint="cs"/>
                <w:noProof w:val="0"/>
                <w:rtl/>
              </w:rPr>
              <w:t xml:space="preserve">2-3. </w:t>
            </w:r>
            <w:r w:rsidRPr="003462BD">
              <w:rPr>
                <w:rFonts w:ascii="Arial" w:hAnsi="Arial" w:hint="cs"/>
                <w:noProof w:val="0"/>
                <w:rtl/>
              </w:rPr>
              <w:t>עוה"ד מיכאל דינציס</w:t>
            </w:r>
          </w:p>
          <w:p w:rsidR="00E968D6" w:rsidRPr="00E968D6" w:rsidRDefault="00E968D6" w:rsidP="00E968D6">
            <w:pPr>
              <w:suppressLineNumbers/>
              <w:ind w:left="224"/>
              <w:rPr>
                <w:rFonts w:ascii="Arial" w:hAnsi="Arial"/>
                <w:noProof w:val="0"/>
                <w:sz w:val="26"/>
                <w:szCs w:val="26"/>
                <w:rtl/>
              </w:rPr>
            </w:pPr>
          </w:p>
        </w:tc>
      </w:tr>
      <w:tr w:rsidR="004C17EE" w:rsidTr="00D620FD">
        <w:trPr>
          <w:jc w:val="center"/>
        </w:trPr>
        <w:tc>
          <w:tcPr>
            <w:tcW w:w="8820" w:type="dxa"/>
            <w:gridSpan w:val="4"/>
          </w:tcPr>
          <w:p w:rsidR="00670EAC" w:rsidRDefault="00670EAC">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Default="00E968D6" w:rsidP="00573490">
      <w:pPr>
        <w:spacing w:before="120" w:line="360" w:lineRule="auto"/>
        <w:jc w:val="both"/>
        <w:rPr>
          <w:rFonts w:ascii="Arial" w:hAnsi="Arial"/>
          <w:noProof w:val="0"/>
          <w:rtl/>
        </w:rPr>
      </w:pPr>
      <w:bookmarkStart w:id="1" w:name="NGCSBookmark"/>
      <w:bookmarkEnd w:id="1"/>
      <w:r>
        <w:rPr>
          <w:rFonts w:ascii="Arial" w:hAnsi="Arial" w:hint="cs"/>
          <w:noProof w:val="0"/>
          <w:rtl/>
        </w:rPr>
        <w:t>לפניי בקשת</w:t>
      </w:r>
      <w:r w:rsidR="00573490">
        <w:rPr>
          <w:rFonts w:ascii="Arial" w:hAnsi="Arial" w:hint="cs"/>
          <w:noProof w:val="0"/>
          <w:rtl/>
        </w:rPr>
        <w:t xml:space="preserve"> המדינה</w:t>
      </w:r>
      <w:r>
        <w:rPr>
          <w:rFonts w:ascii="Arial" w:hAnsi="Arial" w:hint="cs"/>
          <w:noProof w:val="0"/>
          <w:rtl/>
        </w:rPr>
        <w:t xml:space="preserve"> לבטל </w:t>
      </w:r>
      <w:r w:rsidR="00573490">
        <w:rPr>
          <w:rFonts w:ascii="Arial" w:hAnsi="Arial" w:hint="cs"/>
          <w:noProof w:val="0"/>
          <w:rtl/>
        </w:rPr>
        <w:t>את הפסיקתה</w:t>
      </w:r>
      <w:r>
        <w:rPr>
          <w:rFonts w:ascii="Arial" w:hAnsi="Arial" w:hint="cs"/>
          <w:noProof w:val="0"/>
          <w:rtl/>
        </w:rPr>
        <w:t xml:space="preserve"> מיום 8.11.22,</w:t>
      </w:r>
      <w:r w:rsidR="007C1190">
        <w:rPr>
          <w:rFonts w:ascii="Arial" w:hAnsi="Arial" w:hint="cs"/>
          <w:noProof w:val="0"/>
          <w:rtl/>
        </w:rPr>
        <w:t xml:space="preserve"> על בסיס החלטה מיום 7/11/22,</w:t>
      </w:r>
      <w:r>
        <w:rPr>
          <w:rFonts w:ascii="Arial" w:hAnsi="Arial" w:hint="cs"/>
          <w:noProof w:val="0"/>
          <w:rtl/>
        </w:rPr>
        <w:t xml:space="preserve"> בה</w:t>
      </w:r>
      <w:r w:rsidR="007C1190">
        <w:rPr>
          <w:rFonts w:ascii="Arial" w:hAnsi="Arial" w:hint="cs"/>
          <w:noProof w:val="0"/>
          <w:rtl/>
        </w:rPr>
        <w:t>ן</w:t>
      </w:r>
      <w:r>
        <w:rPr>
          <w:rFonts w:ascii="Arial" w:hAnsi="Arial" w:hint="cs"/>
          <w:noProof w:val="0"/>
          <w:rtl/>
        </w:rPr>
        <w:t xml:space="preserve"> הוריתי למשטרת ישראל להגיש לעיוני את </w:t>
      </w:r>
      <w:r w:rsidR="00F80AC0">
        <w:rPr>
          <w:rFonts w:ascii="Arial" w:hAnsi="Arial" w:hint="cs"/>
          <w:noProof w:val="0"/>
          <w:rtl/>
        </w:rPr>
        <w:t>פרוטוקול חקירתה של התובעת במשטרה,</w:t>
      </w:r>
      <w:r w:rsidR="00573490">
        <w:rPr>
          <w:rFonts w:ascii="Arial" w:hAnsi="Arial" w:hint="cs"/>
          <w:noProof w:val="0"/>
          <w:rtl/>
        </w:rPr>
        <w:t xml:space="preserve"> בהתאם לבקשת הנתבעים,</w:t>
      </w:r>
      <w:r w:rsidR="00F80AC0">
        <w:rPr>
          <w:rFonts w:ascii="Arial" w:hAnsi="Arial" w:hint="cs"/>
          <w:noProof w:val="0"/>
          <w:rtl/>
        </w:rPr>
        <w:t xml:space="preserve"> וכן תגובת התובעת והנתבעים על </w:t>
      </w:r>
      <w:r w:rsidR="00573490">
        <w:rPr>
          <w:rFonts w:ascii="Arial" w:hAnsi="Arial" w:hint="cs"/>
          <w:noProof w:val="0"/>
          <w:rtl/>
        </w:rPr>
        <w:t>בקשת המדינה</w:t>
      </w:r>
      <w:r w:rsidR="00F80AC0">
        <w:rPr>
          <w:rFonts w:ascii="Arial" w:hAnsi="Arial" w:hint="cs"/>
          <w:noProof w:val="0"/>
          <w:rtl/>
        </w:rPr>
        <w:t>.</w:t>
      </w:r>
    </w:p>
    <w:p w:rsidR="00573490" w:rsidRPr="00573490" w:rsidRDefault="00573490" w:rsidP="00573490">
      <w:pPr>
        <w:spacing w:before="120" w:line="360" w:lineRule="auto"/>
        <w:jc w:val="both"/>
        <w:rPr>
          <w:rFonts w:ascii="Arial" w:hAnsi="Arial"/>
          <w:b/>
          <w:bCs/>
          <w:noProof w:val="0"/>
          <w:u w:val="single"/>
          <w:rtl/>
        </w:rPr>
      </w:pPr>
      <w:r w:rsidRPr="00573490">
        <w:rPr>
          <w:rFonts w:ascii="Arial" w:hAnsi="Arial" w:hint="cs"/>
          <w:b/>
          <w:bCs/>
          <w:noProof w:val="0"/>
          <w:u w:val="single"/>
          <w:rtl/>
        </w:rPr>
        <w:t>הרקע להגשת הבקשה ותוכנה</w:t>
      </w:r>
    </w:p>
    <w:p w:rsidR="000438FF" w:rsidRPr="00573490" w:rsidRDefault="000438FF" w:rsidP="00573490">
      <w:pPr>
        <w:pStyle w:val="ad"/>
        <w:numPr>
          <w:ilvl w:val="0"/>
          <w:numId w:val="1"/>
        </w:numPr>
        <w:spacing w:before="120" w:line="360" w:lineRule="auto"/>
        <w:contextualSpacing w:val="0"/>
        <w:jc w:val="both"/>
        <w:rPr>
          <w:rFonts w:ascii="Arial" w:hAnsi="Arial"/>
          <w:noProof w:val="0"/>
        </w:rPr>
      </w:pPr>
      <w:r w:rsidRPr="00573490">
        <w:rPr>
          <w:rFonts w:ascii="Arial" w:hAnsi="Arial" w:hint="cs"/>
          <w:noProof w:val="0"/>
          <w:rtl/>
        </w:rPr>
        <w:t>ביום 26.10.22 הוגשה בקשת הנתבעים להורות ליחידה החוקרת של להב 433,</w:t>
      </w:r>
      <w:r w:rsidR="00573490">
        <w:rPr>
          <w:rFonts w:ascii="Arial" w:hAnsi="Arial" w:hint="cs"/>
          <w:noProof w:val="0"/>
          <w:rtl/>
        </w:rPr>
        <w:t xml:space="preserve"> במשטרת ישראל,</w:t>
      </w:r>
      <w:r w:rsidRPr="00573490">
        <w:rPr>
          <w:rFonts w:ascii="Arial" w:hAnsi="Arial" w:hint="cs"/>
          <w:noProof w:val="0"/>
          <w:rtl/>
        </w:rPr>
        <w:t xml:space="preserve"> להגיש לתיק בית המשפט את פרוטוקול חקירתה של התובעת במשטרה</w:t>
      </w:r>
      <w:r w:rsidR="00573490">
        <w:rPr>
          <w:rFonts w:ascii="Arial" w:hAnsi="Arial" w:hint="cs"/>
          <w:noProof w:val="0"/>
          <w:rtl/>
        </w:rPr>
        <w:t>, אשר בוצע</w:t>
      </w:r>
      <w:r w:rsidRPr="00573490">
        <w:rPr>
          <w:rFonts w:ascii="Arial" w:hAnsi="Arial" w:hint="cs"/>
          <w:noProof w:val="0"/>
          <w:rtl/>
        </w:rPr>
        <w:t xml:space="preserve"> בשנת 2015 לאחר מעצרו של הנתבע 2, אשר זוכה </w:t>
      </w:r>
      <w:r w:rsidR="00573490">
        <w:rPr>
          <w:rFonts w:ascii="Arial" w:hAnsi="Arial" w:hint="cs"/>
          <w:noProof w:val="0"/>
          <w:rtl/>
        </w:rPr>
        <w:t xml:space="preserve">מהאשמות נגדו </w:t>
      </w:r>
      <w:r w:rsidRPr="00573490">
        <w:rPr>
          <w:rFonts w:ascii="Arial" w:hAnsi="Arial" w:hint="cs"/>
          <w:noProof w:val="0"/>
          <w:rtl/>
        </w:rPr>
        <w:t>לאחר חקירתו.</w:t>
      </w:r>
      <w:r w:rsidR="00AA7E72" w:rsidRPr="00573490">
        <w:rPr>
          <w:rFonts w:ascii="Arial" w:hAnsi="Arial" w:hint="cs"/>
          <w:noProof w:val="0"/>
          <w:rtl/>
        </w:rPr>
        <w:t xml:space="preserve"> </w:t>
      </w:r>
      <w:r w:rsidR="008B0461" w:rsidRPr="00573490">
        <w:rPr>
          <w:rFonts w:ascii="Arial" w:hAnsi="Arial" w:hint="cs"/>
          <w:noProof w:val="0"/>
          <w:rtl/>
        </w:rPr>
        <w:t>הבקשה הוגשה ללא פירוט סעיף החוק מכוחו הוגשה הבקשה, והטעם לבקשה היה כי בחקירה נ</w:t>
      </w:r>
      <w:r w:rsidR="00573490">
        <w:rPr>
          <w:rFonts w:ascii="Arial" w:hAnsi="Arial" w:hint="cs"/>
          <w:noProof w:val="0"/>
          <w:rtl/>
        </w:rPr>
        <w:t xml:space="preserve">שאלה התובעת שאלות בהקשר </w:t>
      </w:r>
      <w:r w:rsidR="007C1190">
        <w:rPr>
          <w:rFonts w:ascii="Arial" w:hAnsi="Arial" w:hint="cs"/>
          <w:noProof w:val="0"/>
          <w:rtl/>
        </w:rPr>
        <w:t>ל</w:t>
      </w:r>
      <w:r w:rsidR="008B0461" w:rsidRPr="00573490">
        <w:rPr>
          <w:rFonts w:ascii="Arial" w:hAnsi="Arial" w:hint="cs"/>
          <w:noProof w:val="0"/>
          <w:rtl/>
        </w:rPr>
        <w:t>מגוריה, שיש בהן כדי לסייע בבירור הסוגיות השנויות במחלוקת בתיק זה.</w:t>
      </w:r>
    </w:p>
    <w:p w:rsidR="00AA7E72" w:rsidRDefault="00AA7E72" w:rsidP="00573490">
      <w:pPr>
        <w:pStyle w:val="ad"/>
        <w:numPr>
          <w:ilvl w:val="0"/>
          <w:numId w:val="1"/>
        </w:numPr>
        <w:spacing w:before="120" w:line="360" w:lineRule="auto"/>
        <w:contextualSpacing w:val="0"/>
        <w:jc w:val="both"/>
        <w:rPr>
          <w:rFonts w:ascii="Arial" w:hAnsi="Arial"/>
          <w:noProof w:val="0"/>
        </w:rPr>
      </w:pPr>
      <w:r>
        <w:rPr>
          <w:rFonts w:ascii="Arial" w:hAnsi="Arial" w:hint="cs"/>
          <w:noProof w:val="0"/>
          <w:rtl/>
        </w:rPr>
        <w:t>ביום 6.</w:t>
      </w:r>
      <w:r w:rsidR="008B0461">
        <w:rPr>
          <w:rFonts w:ascii="Arial" w:hAnsi="Arial" w:hint="cs"/>
          <w:noProof w:val="0"/>
          <w:rtl/>
        </w:rPr>
        <w:t>11.22 הגישה התובעת תגובתה לבקשה, בה ביקשה לדחות את הבקשה ולקבוע כי הנתבעים לא הצביעו על טעם מיוחד בגינו יש לקבל את המבוקש על ידם.</w:t>
      </w:r>
    </w:p>
    <w:p w:rsidR="00AA7E72" w:rsidRDefault="00AA7E72" w:rsidP="00573490">
      <w:pPr>
        <w:pStyle w:val="ad"/>
        <w:numPr>
          <w:ilvl w:val="0"/>
          <w:numId w:val="1"/>
        </w:numPr>
        <w:spacing w:before="120" w:line="360" w:lineRule="auto"/>
        <w:contextualSpacing w:val="0"/>
        <w:jc w:val="both"/>
        <w:rPr>
          <w:rFonts w:ascii="Arial" w:hAnsi="Arial"/>
          <w:noProof w:val="0"/>
        </w:rPr>
      </w:pPr>
      <w:r>
        <w:rPr>
          <w:rFonts w:ascii="Arial" w:hAnsi="Arial" w:hint="cs"/>
          <w:noProof w:val="0"/>
          <w:rtl/>
        </w:rPr>
        <w:t>ביום 7.11.22 קיבלתי בקשת הנתבעים</w:t>
      </w:r>
      <w:r w:rsidR="008B0461">
        <w:rPr>
          <w:rFonts w:ascii="Arial" w:hAnsi="Arial" w:hint="cs"/>
          <w:noProof w:val="0"/>
          <w:rtl/>
        </w:rPr>
        <w:t>, וביום 8.11.22 חתמתי על פסיקתה במסגרתה הוריתי למשטרת ישראל להגיש את פרוטוקול חקירת הת</w:t>
      </w:r>
      <w:r w:rsidR="00573490">
        <w:rPr>
          <w:rFonts w:ascii="Arial" w:hAnsi="Arial" w:hint="cs"/>
          <w:noProof w:val="0"/>
          <w:rtl/>
        </w:rPr>
        <w:t>ובעת במשטרה שבוצע</w:t>
      </w:r>
      <w:r w:rsidR="007C1190">
        <w:rPr>
          <w:rFonts w:ascii="Arial" w:hAnsi="Arial" w:hint="cs"/>
          <w:noProof w:val="0"/>
          <w:rtl/>
        </w:rPr>
        <w:t>ה</w:t>
      </w:r>
      <w:r w:rsidR="00573490">
        <w:rPr>
          <w:rFonts w:ascii="Arial" w:hAnsi="Arial" w:hint="cs"/>
          <w:noProof w:val="0"/>
          <w:rtl/>
        </w:rPr>
        <w:t xml:space="preserve"> בחודש 12/2015.</w:t>
      </w:r>
    </w:p>
    <w:p w:rsidR="008B0461" w:rsidRPr="008B0461" w:rsidRDefault="00AA7E72" w:rsidP="0091779B">
      <w:pPr>
        <w:pStyle w:val="ad"/>
        <w:numPr>
          <w:ilvl w:val="0"/>
          <w:numId w:val="1"/>
        </w:numPr>
        <w:spacing w:before="120" w:line="360" w:lineRule="auto"/>
        <w:contextualSpacing w:val="0"/>
        <w:jc w:val="both"/>
        <w:rPr>
          <w:rFonts w:ascii="Arial" w:hAnsi="Arial"/>
          <w:noProof w:val="0"/>
        </w:rPr>
      </w:pPr>
      <w:r>
        <w:rPr>
          <w:rFonts w:ascii="Arial" w:hAnsi="Arial" w:hint="cs"/>
          <w:noProof w:val="0"/>
          <w:rtl/>
        </w:rPr>
        <w:t>הבקשה דנן הוגשה ע"י המדינה ביום 30.11.22</w:t>
      </w:r>
      <w:r w:rsidR="008B0461">
        <w:rPr>
          <w:rFonts w:ascii="Arial" w:hAnsi="Arial" w:hint="cs"/>
          <w:noProof w:val="0"/>
          <w:rtl/>
        </w:rPr>
        <w:t xml:space="preserve">. </w:t>
      </w:r>
      <w:r w:rsidR="008B0461" w:rsidRPr="008B0461">
        <w:rPr>
          <w:rFonts w:ascii="Arial" w:hAnsi="Arial" w:hint="cs"/>
          <w:noProof w:val="0"/>
          <w:rtl/>
        </w:rPr>
        <w:t xml:space="preserve">המדינה טענה בבקשתה כי </w:t>
      </w:r>
      <w:r w:rsidR="0091779B">
        <w:rPr>
          <w:rFonts w:ascii="Arial" w:hAnsi="Arial" w:hint="cs"/>
          <w:noProof w:val="0"/>
          <w:rtl/>
        </w:rPr>
        <w:t>הפסיקתה נחתמה</w:t>
      </w:r>
      <w:r w:rsidR="008B0461" w:rsidRPr="008B0461">
        <w:rPr>
          <w:rFonts w:ascii="Arial" w:hAnsi="Arial" w:hint="cs"/>
          <w:noProof w:val="0"/>
          <w:rtl/>
        </w:rPr>
        <w:t xml:space="preserve"> ללא שנשמעה עמדתה, כאשר סוגיית עיון בחומר חקירה שלא במסגרת סעיף 74 לחוק סדר הדין הפלילי (נוסח משולב), תשמ"ב-1982 (להלן: "</w:t>
      </w:r>
      <w:r w:rsidR="008B0461" w:rsidRPr="008B0461">
        <w:rPr>
          <w:rFonts w:ascii="Arial" w:hAnsi="Arial" w:hint="cs"/>
          <w:b/>
          <w:bCs/>
          <w:noProof w:val="0"/>
          <w:rtl/>
        </w:rPr>
        <w:t>החסד"פ</w:t>
      </w:r>
      <w:r w:rsidR="008B0461" w:rsidRPr="008B0461">
        <w:rPr>
          <w:rFonts w:ascii="Arial" w:hAnsi="Arial" w:hint="cs"/>
          <w:noProof w:val="0"/>
          <w:rtl/>
        </w:rPr>
        <w:t xml:space="preserve">") הוסדרה בהנחיה מספר 14.8, </w:t>
      </w:r>
      <w:r w:rsidR="008B0461" w:rsidRPr="008B0461">
        <w:rPr>
          <w:rFonts w:ascii="Arial" w:hAnsi="Arial" w:hint="cs"/>
          <w:noProof w:val="0"/>
          <w:rtl/>
        </w:rPr>
        <w:lastRenderedPageBreak/>
        <w:t>בה נכתב כי אין בדרך כלל מקום לאפשר לצד המעוניין לעיין בחומר חקירה מבלי שהוצע אינטרס לגיטימי לכך, כאשר אינטרס כזה ייבחן בהתאם לזהות המבקש, זיקתו למידע והמטרה שלשמה התבקש העיון. המדינה מתנגדת למתן הצו, לטענתה, לא הוצג לפניה אינטרס לגיטימי לתיתו.</w:t>
      </w:r>
    </w:p>
    <w:p w:rsidR="008B0461" w:rsidRDefault="008B0461" w:rsidP="00384DD8">
      <w:pPr>
        <w:pStyle w:val="ad"/>
        <w:numPr>
          <w:ilvl w:val="0"/>
          <w:numId w:val="1"/>
        </w:numPr>
        <w:spacing w:before="120" w:line="360" w:lineRule="auto"/>
        <w:contextualSpacing w:val="0"/>
        <w:jc w:val="both"/>
        <w:rPr>
          <w:rFonts w:ascii="Arial" w:hAnsi="Arial"/>
          <w:noProof w:val="0"/>
        </w:rPr>
      </w:pPr>
      <w:r>
        <w:rPr>
          <w:rFonts w:ascii="Arial" w:hAnsi="Arial" w:hint="cs"/>
          <w:noProof w:val="0"/>
          <w:rtl/>
        </w:rPr>
        <w:t>ביום 30.11.22 הוריתי על עי</w:t>
      </w:r>
      <w:r w:rsidR="00384DD8">
        <w:rPr>
          <w:rFonts w:ascii="Arial" w:hAnsi="Arial" w:hint="cs"/>
          <w:noProof w:val="0"/>
          <w:rtl/>
        </w:rPr>
        <w:t>כ</w:t>
      </w:r>
      <w:r>
        <w:rPr>
          <w:rFonts w:ascii="Arial" w:hAnsi="Arial" w:hint="cs"/>
          <w:noProof w:val="0"/>
          <w:rtl/>
        </w:rPr>
        <w:t>וב ביצוע הפסיקתה</w:t>
      </w:r>
      <w:r w:rsidR="007C1190">
        <w:rPr>
          <w:rFonts w:ascii="Arial" w:hAnsi="Arial" w:hint="cs"/>
          <w:noProof w:val="0"/>
          <w:rtl/>
        </w:rPr>
        <w:t xml:space="preserve">, </w:t>
      </w:r>
      <w:r>
        <w:rPr>
          <w:rFonts w:ascii="Arial" w:hAnsi="Arial" w:hint="cs"/>
          <w:noProof w:val="0"/>
          <w:rtl/>
        </w:rPr>
        <w:t>הור</w:t>
      </w:r>
      <w:r w:rsidR="007C1190">
        <w:rPr>
          <w:rFonts w:ascii="Arial" w:hAnsi="Arial" w:hint="cs"/>
          <w:noProof w:val="0"/>
          <w:rtl/>
        </w:rPr>
        <w:t>י</w:t>
      </w:r>
      <w:r>
        <w:rPr>
          <w:rFonts w:ascii="Arial" w:hAnsi="Arial" w:hint="cs"/>
          <w:noProof w:val="0"/>
          <w:rtl/>
        </w:rPr>
        <w:t>תי לנתבעים להגיש למדינה את כל הבקשות שהגישו בעניין הצו המבוקש, והוריתי למדינה להשלים התייחסותה</w:t>
      </w:r>
      <w:r w:rsidR="0091779B">
        <w:rPr>
          <w:rFonts w:ascii="Arial" w:hAnsi="Arial" w:hint="cs"/>
          <w:noProof w:val="0"/>
          <w:rtl/>
        </w:rPr>
        <w:t>, לאחר שתעיין בחומר שהוגש על ידי הנתבעים</w:t>
      </w:r>
      <w:r>
        <w:rPr>
          <w:rFonts w:ascii="Arial" w:hAnsi="Arial" w:hint="cs"/>
          <w:noProof w:val="0"/>
          <w:rtl/>
        </w:rPr>
        <w:t>.</w:t>
      </w:r>
    </w:p>
    <w:p w:rsidR="008B0461" w:rsidRDefault="008B0461" w:rsidP="00DC461A">
      <w:pPr>
        <w:pStyle w:val="ad"/>
        <w:numPr>
          <w:ilvl w:val="0"/>
          <w:numId w:val="1"/>
        </w:numPr>
        <w:spacing w:before="120" w:line="360" w:lineRule="auto"/>
        <w:contextualSpacing w:val="0"/>
        <w:jc w:val="both"/>
        <w:rPr>
          <w:rFonts w:ascii="Arial" w:hAnsi="Arial"/>
          <w:noProof w:val="0"/>
        </w:rPr>
      </w:pPr>
      <w:r>
        <w:rPr>
          <w:rFonts w:ascii="Arial" w:hAnsi="Arial" w:hint="cs"/>
          <w:noProof w:val="0"/>
          <w:rtl/>
        </w:rPr>
        <w:t xml:space="preserve">ביום 18.12.22, שבה המדינה על עמדתה בדבר ביטול </w:t>
      </w:r>
      <w:r w:rsidR="0091779B">
        <w:rPr>
          <w:rFonts w:ascii="Arial" w:hAnsi="Arial" w:hint="cs"/>
          <w:noProof w:val="0"/>
          <w:rtl/>
        </w:rPr>
        <w:t>הפסיקתה</w:t>
      </w:r>
      <w:r>
        <w:rPr>
          <w:rFonts w:ascii="Arial" w:hAnsi="Arial" w:hint="cs"/>
          <w:noProof w:val="0"/>
          <w:rtl/>
        </w:rPr>
        <w:t xml:space="preserve">. לטענתה, החקירה מושא הפרוטוקול המבוקש עסקה בעבירות כלכליות </w:t>
      </w:r>
      <w:r w:rsidR="007C1190">
        <w:rPr>
          <w:rFonts w:ascii="Arial" w:hAnsi="Arial" w:hint="cs"/>
          <w:noProof w:val="0"/>
          <w:rtl/>
        </w:rPr>
        <w:t>לפי חוק מס ערך מוסף</w:t>
      </w:r>
      <w:r w:rsidR="00DC461A">
        <w:rPr>
          <w:rFonts w:ascii="Arial" w:hAnsi="Arial" w:hint="cs"/>
          <w:noProof w:val="0"/>
          <w:rtl/>
        </w:rPr>
        <w:t>, תשל"ו-1975 (להלן: '</w:t>
      </w:r>
      <w:r w:rsidR="00DC461A" w:rsidRPr="00DC461A">
        <w:rPr>
          <w:rFonts w:ascii="Arial" w:hAnsi="Arial" w:hint="cs"/>
          <w:b/>
          <w:bCs/>
          <w:noProof w:val="0"/>
          <w:rtl/>
        </w:rPr>
        <w:t>חוק המע"מ</w:t>
      </w:r>
      <w:r w:rsidR="00DC461A">
        <w:rPr>
          <w:rFonts w:ascii="Arial" w:hAnsi="Arial" w:hint="cs"/>
          <w:noProof w:val="0"/>
          <w:rtl/>
        </w:rPr>
        <w:t xml:space="preserve">'), </w:t>
      </w:r>
      <w:r>
        <w:rPr>
          <w:rFonts w:ascii="Arial" w:hAnsi="Arial" w:hint="cs"/>
          <w:noProof w:val="0"/>
          <w:rtl/>
        </w:rPr>
        <w:t>אשר הינן חסויות בהתאם להוראות החוק, ולא מתקיימים במקרה זה החריגים לגילוי המ</w:t>
      </w:r>
      <w:r w:rsidR="0091779B">
        <w:rPr>
          <w:rFonts w:ascii="Arial" w:hAnsi="Arial" w:hint="cs"/>
          <w:noProof w:val="0"/>
          <w:rtl/>
        </w:rPr>
        <w:t>י</w:t>
      </w:r>
      <w:r>
        <w:rPr>
          <w:rFonts w:ascii="Arial" w:hAnsi="Arial" w:hint="cs"/>
          <w:noProof w:val="0"/>
          <w:rtl/>
        </w:rPr>
        <w:t>דע שהגיעה לידיה.</w:t>
      </w:r>
    </w:p>
    <w:p w:rsidR="0091779B" w:rsidRDefault="0091779B" w:rsidP="0091779B">
      <w:pPr>
        <w:pStyle w:val="ad"/>
        <w:numPr>
          <w:ilvl w:val="0"/>
          <w:numId w:val="1"/>
        </w:numPr>
        <w:spacing w:before="120" w:line="360" w:lineRule="auto"/>
        <w:contextualSpacing w:val="0"/>
        <w:jc w:val="both"/>
        <w:rPr>
          <w:rFonts w:ascii="Arial" w:hAnsi="Arial"/>
          <w:noProof w:val="0"/>
        </w:rPr>
      </w:pPr>
      <w:r>
        <w:rPr>
          <w:rFonts w:ascii="Arial" w:hAnsi="Arial" w:hint="cs"/>
          <w:noProof w:val="0"/>
          <w:rtl/>
        </w:rPr>
        <w:t xml:space="preserve">ביום 28.12.22 הוגשה </w:t>
      </w:r>
      <w:r w:rsidR="00AA7E72">
        <w:rPr>
          <w:rFonts w:ascii="Arial" w:hAnsi="Arial" w:hint="cs"/>
          <w:noProof w:val="0"/>
          <w:rtl/>
        </w:rPr>
        <w:t xml:space="preserve">תגובת הנתבעים </w:t>
      </w:r>
      <w:r>
        <w:rPr>
          <w:rFonts w:ascii="Arial" w:hAnsi="Arial" w:hint="cs"/>
          <w:noProof w:val="0"/>
          <w:rtl/>
        </w:rPr>
        <w:t>אשר ביקשו לדחות בקשת המדינה. בתגובה</w:t>
      </w:r>
      <w:r w:rsidR="008B0461">
        <w:rPr>
          <w:rFonts w:ascii="Arial" w:hAnsi="Arial" w:hint="cs"/>
          <w:noProof w:val="0"/>
          <w:rtl/>
        </w:rPr>
        <w:t xml:space="preserve"> </w:t>
      </w:r>
      <w:r w:rsidR="009C607F">
        <w:rPr>
          <w:rFonts w:ascii="Arial" w:hAnsi="Arial" w:hint="cs"/>
          <w:noProof w:val="0"/>
          <w:rtl/>
        </w:rPr>
        <w:t>טענו</w:t>
      </w:r>
      <w:r w:rsidR="008B0461">
        <w:rPr>
          <w:rFonts w:ascii="Arial" w:hAnsi="Arial" w:hint="cs"/>
          <w:noProof w:val="0"/>
          <w:rtl/>
        </w:rPr>
        <w:t xml:space="preserve"> הנתבעים</w:t>
      </w:r>
      <w:r w:rsidR="009C607F">
        <w:rPr>
          <w:rFonts w:ascii="Arial" w:hAnsi="Arial" w:hint="cs"/>
          <w:noProof w:val="0"/>
          <w:rtl/>
        </w:rPr>
        <w:t>,</w:t>
      </w:r>
      <w:r>
        <w:rPr>
          <w:rFonts w:ascii="Arial" w:hAnsi="Arial" w:hint="cs"/>
          <w:noProof w:val="0"/>
          <w:rtl/>
        </w:rPr>
        <w:t xml:space="preserve"> </w:t>
      </w:r>
      <w:r w:rsidR="00C740D7">
        <w:rPr>
          <w:rFonts w:ascii="Arial" w:hAnsi="Arial" w:hint="cs"/>
          <w:noProof w:val="0"/>
          <w:rtl/>
        </w:rPr>
        <w:t>כי לא קיים הליך של עיון חוזר בצו שניתן ו</w:t>
      </w:r>
      <w:r>
        <w:rPr>
          <w:rFonts w:ascii="Arial" w:hAnsi="Arial" w:hint="cs"/>
          <w:noProof w:val="0"/>
          <w:rtl/>
        </w:rPr>
        <w:t>כי המדינה מתנהלת בחוסר תום לב עת היא מערימה, ולא בפעם הראשונה, קשיים, כאשר, במקרה זה, חובת גילוי האמת גוברת על שיקולים אחרים. הנתבעים טענו,</w:t>
      </w:r>
      <w:r w:rsidR="009C607F">
        <w:rPr>
          <w:rFonts w:ascii="Arial" w:hAnsi="Arial" w:hint="cs"/>
          <w:noProof w:val="0"/>
          <w:rtl/>
        </w:rPr>
        <w:t xml:space="preserve"> בין היתר,</w:t>
      </w:r>
      <w:r w:rsidR="008B0461">
        <w:rPr>
          <w:rFonts w:ascii="Arial" w:hAnsi="Arial" w:hint="cs"/>
          <w:noProof w:val="0"/>
          <w:rtl/>
        </w:rPr>
        <w:t xml:space="preserve"> כי די בכך כי המסמך יוצג בפני ע</w:t>
      </w:r>
      <w:r>
        <w:rPr>
          <w:rFonts w:ascii="Arial" w:hAnsi="Arial" w:hint="cs"/>
          <w:noProof w:val="0"/>
          <w:rtl/>
        </w:rPr>
        <w:t>י</w:t>
      </w:r>
      <w:r w:rsidR="008B0461">
        <w:rPr>
          <w:rFonts w:ascii="Arial" w:hAnsi="Arial" w:hint="cs"/>
          <w:noProof w:val="0"/>
          <w:rtl/>
        </w:rPr>
        <w:t>ניו של בית המשפט ולא יימסר לצדדים</w:t>
      </w:r>
      <w:r>
        <w:rPr>
          <w:rFonts w:ascii="Arial" w:hAnsi="Arial" w:hint="cs"/>
          <w:noProof w:val="0"/>
          <w:rtl/>
        </w:rPr>
        <w:t>.</w:t>
      </w:r>
    </w:p>
    <w:p w:rsidR="00AA7E72" w:rsidRDefault="00AA7E72" w:rsidP="00DC461A">
      <w:pPr>
        <w:pStyle w:val="ad"/>
        <w:numPr>
          <w:ilvl w:val="0"/>
          <w:numId w:val="1"/>
        </w:numPr>
        <w:spacing w:before="120" w:line="360" w:lineRule="auto"/>
        <w:contextualSpacing w:val="0"/>
        <w:jc w:val="both"/>
        <w:rPr>
          <w:rFonts w:ascii="Arial" w:hAnsi="Arial"/>
          <w:noProof w:val="0"/>
        </w:rPr>
      </w:pPr>
      <w:r>
        <w:rPr>
          <w:rFonts w:ascii="Arial" w:hAnsi="Arial" w:hint="cs"/>
          <w:noProof w:val="0"/>
          <w:rtl/>
        </w:rPr>
        <w:t>ביום 1.1.23 הוגשה תגובת התובעת</w:t>
      </w:r>
      <w:r w:rsidR="008B0461">
        <w:rPr>
          <w:rFonts w:ascii="Arial" w:hAnsi="Arial" w:hint="cs"/>
          <w:noProof w:val="0"/>
          <w:rtl/>
        </w:rPr>
        <w:t xml:space="preserve"> התומכת בביטול הפסיקת</w:t>
      </w:r>
      <w:r w:rsidR="00DC461A">
        <w:rPr>
          <w:rFonts w:ascii="Arial" w:hAnsi="Arial" w:hint="cs"/>
          <w:noProof w:val="0"/>
          <w:rtl/>
        </w:rPr>
        <w:t>ה</w:t>
      </w:r>
      <w:r w:rsidR="00573490">
        <w:rPr>
          <w:rFonts w:ascii="Arial" w:hAnsi="Arial" w:hint="cs"/>
          <w:noProof w:val="0"/>
          <w:rtl/>
        </w:rPr>
        <w:t xml:space="preserve">, התובעת פירטה בתגובתה כי אין זו הפעם הראשונה בה הנתבע ביקש </w:t>
      </w:r>
      <w:r w:rsidR="0091779B">
        <w:rPr>
          <w:rFonts w:ascii="Arial" w:hAnsi="Arial" w:hint="cs"/>
          <w:noProof w:val="0"/>
          <w:rtl/>
        </w:rPr>
        <w:t xml:space="preserve">לקבל העתק </w:t>
      </w:r>
      <w:r w:rsidR="00573490">
        <w:rPr>
          <w:rFonts w:ascii="Arial" w:hAnsi="Arial" w:hint="cs"/>
          <w:noProof w:val="0"/>
          <w:rtl/>
        </w:rPr>
        <w:t>חומר חקירה זה</w:t>
      </w:r>
      <w:r w:rsidR="00DC461A">
        <w:rPr>
          <w:rFonts w:ascii="Arial" w:hAnsi="Arial" w:hint="cs"/>
          <w:noProof w:val="0"/>
          <w:rtl/>
        </w:rPr>
        <w:t>,</w:t>
      </w:r>
      <w:r w:rsidR="0091779B">
        <w:rPr>
          <w:rFonts w:ascii="Arial" w:hAnsi="Arial" w:hint="cs"/>
          <w:noProof w:val="0"/>
          <w:rtl/>
        </w:rPr>
        <w:t xml:space="preserve"> וצרפה החלטות אשר ניתנו בעניין זה על ידי בתי משפט בעבר</w:t>
      </w:r>
      <w:r>
        <w:rPr>
          <w:rFonts w:ascii="Arial" w:hAnsi="Arial" w:hint="cs"/>
          <w:noProof w:val="0"/>
          <w:rtl/>
        </w:rPr>
        <w:t>.</w:t>
      </w:r>
    </w:p>
    <w:p w:rsidR="009C607F" w:rsidRPr="009C607F" w:rsidRDefault="009C607F" w:rsidP="00573490">
      <w:pPr>
        <w:spacing w:before="120" w:line="360" w:lineRule="auto"/>
        <w:ind w:left="360"/>
        <w:jc w:val="both"/>
        <w:rPr>
          <w:rFonts w:ascii="Arial" w:hAnsi="Arial"/>
          <w:b/>
          <w:bCs/>
          <w:noProof w:val="0"/>
          <w:u w:val="single"/>
        </w:rPr>
      </w:pPr>
      <w:r w:rsidRPr="009C607F">
        <w:rPr>
          <w:rFonts w:ascii="Arial" w:hAnsi="Arial" w:hint="cs"/>
          <w:b/>
          <w:bCs/>
          <w:noProof w:val="0"/>
          <w:u w:val="single"/>
          <w:rtl/>
        </w:rPr>
        <w:t>דיון והכרעה</w:t>
      </w:r>
    </w:p>
    <w:p w:rsidR="00735365" w:rsidRDefault="00735365" w:rsidP="00DC461A">
      <w:pPr>
        <w:pStyle w:val="ad"/>
        <w:numPr>
          <w:ilvl w:val="0"/>
          <w:numId w:val="1"/>
        </w:numPr>
        <w:spacing w:before="120" w:line="360" w:lineRule="auto"/>
        <w:contextualSpacing w:val="0"/>
        <w:jc w:val="both"/>
        <w:rPr>
          <w:rFonts w:ascii="Arial" w:hAnsi="Arial"/>
          <w:noProof w:val="0"/>
        </w:rPr>
      </w:pPr>
      <w:r>
        <w:rPr>
          <w:rFonts w:ascii="Arial" w:hAnsi="Arial" w:hint="cs"/>
          <w:noProof w:val="0"/>
          <w:rtl/>
        </w:rPr>
        <w:t>לאחר עיון בבקשת המדינה ובתגובות הצדדים, אני מקבלת בקשת המדינה</w:t>
      </w:r>
      <w:r w:rsidR="007C28CC">
        <w:rPr>
          <w:rFonts w:ascii="Arial" w:hAnsi="Arial" w:hint="cs"/>
          <w:noProof w:val="0"/>
          <w:rtl/>
        </w:rPr>
        <w:t xml:space="preserve"> לעיון חוזר בהחלטתי</w:t>
      </w:r>
      <w:r>
        <w:rPr>
          <w:rFonts w:ascii="Arial" w:hAnsi="Arial" w:hint="cs"/>
          <w:noProof w:val="0"/>
          <w:rtl/>
        </w:rPr>
        <w:t xml:space="preserve">, ומורה על ביטול </w:t>
      </w:r>
      <w:r w:rsidR="00DC461A">
        <w:rPr>
          <w:rFonts w:ascii="Arial" w:hAnsi="Arial" w:hint="cs"/>
          <w:noProof w:val="0"/>
          <w:rtl/>
        </w:rPr>
        <w:t>ההחלטה מיום 7.11.22 ו</w:t>
      </w:r>
      <w:r>
        <w:rPr>
          <w:rFonts w:ascii="Arial" w:hAnsi="Arial" w:hint="cs"/>
          <w:noProof w:val="0"/>
          <w:rtl/>
        </w:rPr>
        <w:t xml:space="preserve">הפסיקתה שנחתמה על ידי ביום 8.11.22. </w:t>
      </w:r>
    </w:p>
    <w:p w:rsidR="00573490" w:rsidRPr="00573490" w:rsidRDefault="00573490" w:rsidP="00573490">
      <w:pPr>
        <w:spacing w:before="120" w:line="360" w:lineRule="auto"/>
        <w:ind w:left="360"/>
        <w:jc w:val="both"/>
        <w:rPr>
          <w:rFonts w:ascii="Arial" w:hAnsi="Arial"/>
          <w:noProof w:val="0"/>
          <w:u w:val="single"/>
        </w:rPr>
      </w:pPr>
      <w:r w:rsidRPr="00573490">
        <w:rPr>
          <w:rFonts w:ascii="Arial" w:hAnsi="Arial" w:hint="cs"/>
          <w:noProof w:val="0"/>
          <w:u w:val="single"/>
          <w:rtl/>
        </w:rPr>
        <w:t>הדין הרלוונטי לענייננו</w:t>
      </w:r>
    </w:p>
    <w:p w:rsidR="00735365" w:rsidRDefault="00735365" w:rsidP="00573490">
      <w:pPr>
        <w:pStyle w:val="ad"/>
        <w:numPr>
          <w:ilvl w:val="0"/>
          <w:numId w:val="1"/>
        </w:numPr>
        <w:spacing w:before="120" w:line="360" w:lineRule="auto"/>
        <w:contextualSpacing w:val="0"/>
        <w:jc w:val="both"/>
        <w:rPr>
          <w:rFonts w:ascii="Arial" w:hAnsi="Arial"/>
          <w:noProof w:val="0"/>
        </w:rPr>
      </w:pPr>
      <w:r>
        <w:rPr>
          <w:rFonts w:ascii="Arial" w:hAnsi="Arial" w:hint="cs"/>
          <w:noProof w:val="0"/>
          <w:rtl/>
        </w:rPr>
        <w:t>ההנחיה הרלוונטית לצורך בחינת בקשתם של הנתבעים, היא הנחיה 14.8 להנחיות פרקליט המדינה שכותרתה: "</w:t>
      </w:r>
      <w:r w:rsidRPr="00735365">
        <w:rPr>
          <w:rFonts w:ascii="Arial" w:hAnsi="Arial" w:hint="cs"/>
          <w:b/>
          <w:bCs/>
          <w:noProof w:val="0"/>
          <w:rtl/>
        </w:rPr>
        <w:t>בקשה מצד גורמים שונים לעיין במידע המצוי בתיק חקירה</w:t>
      </w:r>
      <w:r>
        <w:rPr>
          <w:rFonts w:ascii="Arial" w:hAnsi="Arial" w:hint="cs"/>
          <w:noProof w:val="0"/>
          <w:rtl/>
        </w:rPr>
        <w:t xml:space="preserve">". </w:t>
      </w:r>
    </w:p>
    <w:p w:rsidR="00573490" w:rsidRDefault="00573490" w:rsidP="00573490">
      <w:pPr>
        <w:pStyle w:val="ad"/>
        <w:numPr>
          <w:ilvl w:val="0"/>
          <w:numId w:val="1"/>
        </w:numPr>
        <w:spacing w:before="120" w:line="360" w:lineRule="auto"/>
        <w:contextualSpacing w:val="0"/>
        <w:jc w:val="both"/>
        <w:rPr>
          <w:rFonts w:ascii="Arial" w:hAnsi="Arial"/>
          <w:noProof w:val="0"/>
        </w:rPr>
      </w:pPr>
      <w:r>
        <w:rPr>
          <w:rFonts w:ascii="Arial" w:hAnsi="Arial" w:hint="cs"/>
          <w:noProof w:val="0"/>
          <w:rtl/>
        </w:rPr>
        <w:t>סעיף ג להנחיה קובע כדלקמן:</w:t>
      </w:r>
    </w:p>
    <w:p w:rsidR="00573490" w:rsidRPr="00DC461A" w:rsidRDefault="00573490" w:rsidP="00DC461A">
      <w:pPr>
        <w:spacing w:line="360" w:lineRule="auto"/>
        <w:ind w:left="1440"/>
        <w:jc w:val="both"/>
        <w:rPr>
          <w:rFonts w:ascii="Arial" w:hAnsi="Arial"/>
          <w:b/>
          <w:bCs/>
          <w:noProof w:val="0"/>
          <w:rtl/>
        </w:rPr>
      </w:pPr>
      <w:r w:rsidRPr="00DC461A">
        <w:rPr>
          <w:rFonts w:ascii="Arial" w:hAnsi="Arial" w:hint="cs"/>
          <w:noProof w:val="0"/>
          <w:rtl/>
        </w:rPr>
        <w:t>"</w:t>
      </w:r>
      <w:r w:rsidRPr="00DC461A">
        <w:rPr>
          <w:rFonts w:ascii="Arial" w:hAnsi="Arial" w:hint="cs"/>
          <w:b/>
          <w:bCs/>
          <w:noProof w:val="0"/>
          <w:rtl/>
        </w:rPr>
        <w:t>תנאי הכרחי למימוש זכות העיון במידע המצוי בתיק חקירה הוא קיומו של אינטרס לגיטימי לכך. אינטרס כזה ייבחן בהתאם לזהות המבקש, זיקתו למידע, והמטרה לשמה מבוקש העיון".</w:t>
      </w:r>
    </w:p>
    <w:p w:rsidR="00573490" w:rsidRDefault="00573490" w:rsidP="00DC461A">
      <w:pPr>
        <w:pStyle w:val="ad"/>
        <w:spacing w:line="360" w:lineRule="auto"/>
        <w:ind w:left="1440"/>
        <w:jc w:val="both"/>
        <w:rPr>
          <w:rFonts w:ascii="Arial" w:hAnsi="Arial"/>
          <w:noProof w:val="0"/>
        </w:rPr>
      </w:pPr>
      <w:r w:rsidRPr="00573490">
        <w:rPr>
          <w:rFonts w:ascii="Arial" w:hAnsi="Arial" w:hint="cs"/>
          <w:b/>
          <w:bCs/>
          <w:noProof w:val="0"/>
          <w:rtl/>
        </w:rPr>
        <w:lastRenderedPageBreak/>
        <w:t xml:space="preserve">ככלל, ככל שעניינו של המבקש בעל זיקה הדוקה להליך הפלילי, וככל שתכלית העיון נועדה לשרת מטרה קרובה למטרה שמשלמה נאסף המידע </w:t>
      </w:r>
      <w:r w:rsidRPr="00573490">
        <w:rPr>
          <w:rFonts w:ascii="Arial" w:hAnsi="Arial"/>
          <w:b/>
          <w:bCs/>
          <w:noProof w:val="0"/>
          <w:rtl/>
        </w:rPr>
        <w:t>–</w:t>
      </w:r>
      <w:r w:rsidRPr="00573490">
        <w:rPr>
          <w:rFonts w:ascii="Arial" w:hAnsi="Arial" w:hint="cs"/>
          <w:b/>
          <w:bCs/>
          <w:noProof w:val="0"/>
          <w:rtl/>
        </w:rPr>
        <w:t xml:space="preserve"> קרי , אכיפת החוק הפלילי והשלכותיה </w:t>
      </w:r>
      <w:r w:rsidRPr="00573490">
        <w:rPr>
          <w:rFonts w:ascii="Arial" w:hAnsi="Arial"/>
          <w:b/>
          <w:bCs/>
          <w:noProof w:val="0"/>
          <w:rtl/>
        </w:rPr>
        <w:t>–</w:t>
      </w:r>
      <w:r w:rsidRPr="00573490">
        <w:rPr>
          <w:rFonts w:ascii="Arial" w:hAnsi="Arial" w:hint="cs"/>
          <w:b/>
          <w:bCs/>
          <w:noProof w:val="0"/>
          <w:rtl/>
        </w:rPr>
        <w:t xml:space="preserve"> כך תגדל מידת ההיענות לבקשת העיון. העניין והזיקה יישקלו אל מול האינטרסים האחרים, ובפרט יש לתת את הדעת, שמתן זכות העיון לא יסכל את התכלית שלשמה נאסף המידע</w:t>
      </w:r>
      <w:r>
        <w:rPr>
          <w:rFonts w:ascii="Arial" w:hAnsi="Arial" w:hint="cs"/>
          <w:noProof w:val="0"/>
          <w:rtl/>
        </w:rPr>
        <w:t>".</w:t>
      </w:r>
    </w:p>
    <w:p w:rsidR="00DC461A" w:rsidRPr="00DC461A" w:rsidRDefault="00573490" w:rsidP="0091779B">
      <w:pPr>
        <w:pStyle w:val="ad"/>
        <w:numPr>
          <w:ilvl w:val="0"/>
          <w:numId w:val="1"/>
        </w:numPr>
        <w:spacing w:before="120" w:line="360" w:lineRule="auto"/>
        <w:contextualSpacing w:val="0"/>
        <w:jc w:val="both"/>
        <w:rPr>
          <w:rFonts w:ascii="Arial" w:hAnsi="Arial"/>
          <w:noProof w:val="0"/>
        </w:rPr>
      </w:pPr>
      <w:r>
        <w:rPr>
          <w:rFonts w:ascii="Arial" w:hAnsi="Arial" w:hint="cs"/>
          <w:noProof w:val="0"/>
          <w:rtl/>
        </w:rPr>
        <w:t xml:space="preserve">בהמשך ההנחיה, בסעיף 12, </w:t>
      </w:r>
      <w:r>
        <w:rPr>
          <w:rFonts w:hint="cs"/>
          <w:rtl/>
        </w:rPr>
        <w:t xml:space="preserve">נכתב: </w:t>
      </w:r>
    </w:p>
    <w:p w:rsidR="00573490" w:rsidRDefault="00DC461A" w:rsidP="00DC461A">
      <w:pPr>
        <w:pStyle w:val="ad"/>
        <w:spacing w:line="360" w:lineRule="auto"/>
        <w:ind w:left="1440"/>
        <w:jc w:val="both"/>
        <w:rPr>
          <w:rFonts w:ascii="Arial" w:hAnsi="Arial"/>
          <w:noProof w:val="0"/>
        </w:rPr>
      </w:pPr>
      <w:r>
        <w:rPr>
          <w:rFonts w:hint="cs"/>
          <w:b/>
          <w:bCs/>
          <w:rtl/>
        </w:rPr>
        <w:t>"</w:t>
      </w:r>
      <w:r w:rsidR="00573490" w:rsidRPr="00573490">
        <w:rPr>
          <w:b/>
          <w:bCs/>
          <w:rtl/>
        </w:rPr>
        <w:t>כמו כן, ישתנה שיקול הדעת באשר להיענות לבקשה, בהתאם למטרתה - אפילו ביחס לאותו מבקש עצמו. כך, למשל, חשוד המבקש את העיון, לצורך שינוי עילת הסגירה של התיק נגדו</w:t>
      </w:r>
      <w:r w:rsidR="00573490" w:rsidRPr="00573490">
        <w:rPr>
          <w:b/>
          <w:bCs/>
        </w:rPr>
        <w:t xml:space="preserve">, </w:t>
      </w:r>
      <w:r w:rsidR="00573490" w:rsidRPr="00573490">
        <w:rPr>
          <w:b/>
          <w:bCs/>
          <w:rtl/>
        </w:rPr>
        <w:t>הוא בעל אינטרס מובהק. זכותו של אדם לשמירה על שמו הטוב היא זכות בעלת חשיבות ברורה. לעומת זאת, אם אותו החשוד יבקש את העיון לצורך נקיטת הליך אזרחי הנוגע להליך הפלילי - עשויה להשתנות נקודת האיזון. בדומה, עוצמת האינטרס לעיון עלולה להיחלש עוד יותר, כאשר אותו החשוד יבקש את העיון כדי להשתמש בו בהליכים אזרחיים אחרים שהוא מנהל</w:t>
      </w:r>
      <w:r w:rsidR="00573490">
        <w:rPr>
          <w:rFonts w:ascii="Arial" w:hAnsi="Arial" w:hint="cs"/>
          <w:noProof w:val="0"/>
          <w:rtl/>
        </w:rPr>
        <w:t xml:space="preserve">". </w:t>
      </w:r>
    </w:p>
    <w:p w:rsidR="008B0461" w:rsidRDefault="009C607F" w:rsidP="00DC461A">
      <w:pPr>
        <w:pStyle w:val="ad"/>
        <w:numPr>
          <w:ilvl w:val="0"/>
          <w:numId w:val="1"/>
        </w:numPr>
        <w:spacing w:before="120" w:line="360" w:lineRule="auto"/>
        <w:contextualSpacing w:val="0"/>
        <w:jc w:val="both"/>
        <w:rPr>
          <w:rFonts w:ascii="Arial" w:hAnsi="Arial"/>
          <w:noProof w:val="0"/>
        </w:rPr>
      </w:pPr>
      <w:r>
        <w:rPr>
          <w:rFonts w:ascii="Arial" w:hAnsi="Arial" w:hint="cs"/>
          <w:noProof w:val="0"/>
          <w:rtl/>
        </w:rPr>
        <w:t xml:space="preserve">המדינה הבהירה בתגובתה מיום 18.12.22, כי התיק בו התנהלה חקירת התובעת הוא תיק כלכלי, ועל כן, חל על החומר אותו מבקשים הנתבעים סעיף 142 לחוק </w:t>
      </w:r>
      <w:r w:rsidR="00DC461A">
        <w:rPr>
          <w:rFonts w:ascii="Arial" w:hAnsi="Arial" w:hint="cs"/>
          <w:noProof w:val="0"/>
          <w:rtl/>
        </w:rPr>
        <w:t xml:space="preserve">המע"מ, </w:t>
      </w:r>
      <w:r>
        <w:rPr>
          <w:rFonts w:ascii="Arial" w:hAnsi="Arial" w:hint="cs"/>
          <w:noProof w:val="0"/>
          <w:rtl/>
        </w:rPr>
        <w:t>אשר קובע:</w:t>
      </w:r>
    </w:p>
    <w:p w:rsidR="009C607F" w:rsidRPr="009C607F" w:rsidRDefault="009C607F" w:rsidP="0091779B">
      <w:pPr>
        <w:pStyle w:val="P00"/>
        <w:spacing w:before="120" w:line="360" w:lineRule="auto"/>
        <w:ind w:left="1021" w:right="142"/>
        <w:rPr>
          <w:rFonts w:ascii="David" w:hAnsi="David" w:cs="David"/>
          <w:b/>
          <w:bCs/>
          <w:noProof w:val="0"/>
          <w:sz w:val="24"/>
          <w:szCs w:val="24"/>
          <w:rtl/>
          <w:lang w:eastAsia="en-US"/>
        </w:rPr>
      </w:pPr>
      <w:r w:rsidRPr="009C607F">
        <w:rPr>
          <w:rFonts w:ascii="David" w:hAnsi="David" w:cs="David"/>
          <w:b/>
          <w:bCs/>
          <w:noProof w:val="0"/>
          <w:sz w:val="24"/>
          <w:szCs w:val="24"/>
          <w:lang w:eastAsia="en-US"/>
        </w:rPr>
        <w:t>"</w:t>
      </w:r>
      <w:r w:rsidRPr="009C607F">
        <w:rPr>
          <w:rFonts w:ascii="David" w:hAnsi="David" w:cs="David"/>
          <w:b/>
          <w:bCs/>
          <w:noProof w:val="0"/>
          <w:sz w:val="24"/>
          <w:szCs w:val="24"/>
          <w:rtl/>
          <w:lang w:eastAsia="en-US"/>
        </w:rPr>
        <w:t>(א)</w:t>
      </w:r>
      <w:r w:rsidRPr="009C607F">
        <w:rPr>
          <w:rFonts w:ascii="David" w:hAnsi="David" w:cs="David"/>
          <w:b/>
          <w:bCs/>
          <w:noProof w:val="0"/>
          <w:sz w:val="24"/>
          <w:szCs w:val="24"/>
          <w:rtl/>
          <w:lang w:eastAsia="en-US"/>
        </w:rPr>
        <w:tab/>
        <w:t>לא יגלה אדם ידיעה שהגיעה אליו אגב ביצוע חוק זה, אלא אם –</w:t>
      </w:r>
    </w:p>
    <w:p w:rsidR="009C607F" w:rsidRPr="009C607F" w:rsidRDefault="009C607F" w:rsidP="0091779B">
      <w:pPr>
        <w:pStyle w:val="P22"/>
        <w:spacing w:before="120" w:line="360" w:lineRule="auto"/>
        <w:ind w:left="1653" w:right="142" w:hanging="272"/>
        <w:rPr>
          <w:rFonts w:ascii="David" w:hAnsi="David" w:cs="David"/>
          <w:b/>
          <w:bCs/>
          <w:noProof w:val="0"/>
          <w:sz w:val="24"/>
          <w:szCs w:val="24"/>
          <w:rtl/>
          <w:lang w:eastAsia="en-US"/>
        </w:rPr>
      </w:pPr>
      <w:r w:rsidRPr="009C607F">
        <w:rPr>
          <w:rFonts w:ascii="David" w:hAnsi="David" w:cs="David"/>
          <w:b/>
          <w:bCs/>
          <w:noProof w:val="0"/>
          <w:sz w:val="24"/>
          <w:szCs w:val="24"/>
          <w:rtl/>
          <w:lang w:eastAsia="en-US"/>
        </w:rPr>
        <w:t>(1)</w:t>
      </w:r>
      <w:r w:rsidRPr="009C607F">
        <w:rPr>
          <w:rFonts w:ascii="David" w:hAnsi="David" w:cs="David"/>
          <w:b/>
          <w:bCs/>
          <w:noProof w:val="0"/>
          <w:sz w:val="24"/>
          <w:szCs w:val="24"/>
          <w:rtl/>
          <w:lang w:eastAsia="en-US"/>
        </w:rPr>
        <w:tab/>
        <w:t>שר האוצר התיר לגלותה;</w:t>
      </w:r>
    </w:p>
    <w:p w:rsidR="009C607F" w:rsidRPr="009C607F" w:rsidRDefault="009C607F" w:rsidP="0091779B">
      <w:pPr>
        <w:pStyle w:val="P22"/>
        <w:spacing w:before="120" w:line="360" w:lineRule="auto"/>
        <w:ind w:left="1653" w:right="142" w:hanging="272"/>
        <w:rPr>
          <w:rFonts w:ascii="David" w:hAnsi="David" w:cs="David"/>
          <w:b/>
          <w:bCs/>
          <w:noProof w:val="0"/>
          <w:sz w:val="24"/>
          <w:szCs w:val="24"/>
          <w:rtl/>
          <w:lang w:eastAsia="en-US"/>
        </w:rPr>
      </w:pPr>
      <w:r w:rsidRPr="009C607F">
        <w:rPr>
          <w:rFonts w:ascii="David" w:hAnsi="David" w:cs="David"/>
          <w:b/>
          <w:bCs/>
          <w:noProof w:val="0"/>
          <w:sz w:val="24"/>
          <w:szCs w:val="24"/>
          <w:rtl/>
          <w:lang w:eastAsia="en-US"/>
        </w:rPr>
        <w:t>(2)</w:t>
      </w:r>
      <w:r w:rsidRPr="009C607F">
        <w:rPr>
          <w:rFonts w:ascii="David" w:hAnsi="David" w:cs="David"/>
          <w:b/>
          <w:bCs/>
          <w:noProof w:val="0"/>
          <w:sz w:val="24"/>
          <w:szCs w:val="24"/>
          <w:rtl/>
          <w:lang w:eastAsia="en-US"/>
        </w:rPr>
        <w:tab/>
        <w:t>נדרש לגלותה בהליך משפטי על פי חוק זה או חוק מסים כמשמעותו בחוק לתיקון דיני מסים (חילופי ידיעות בין רשויות המס), תשכ"ז-1967;</w:t>
      </w:r>
    </w:p>
    <w:p w:rsidR="00DC461A" w:rsidRDefault="009C607F" w:rsidP="0091779B">
      <w:pPr>
        <w:pStyle w:val="P00"/>
        <w:spacing w:before="120" w:line="360" w:lineRule="auto"/>
        <w:ind w:left="1653" w:right="142" w:hanging="272"/>
        <w:rPr>
          <w:rStyle w:val="default"/>
          <w:rFonts w:ascii="David" w:hAnsi="David" w:cs="David"/>
          <w:b/>
          <w:bCs/>
          <w:sz w:val="24"/>
          <w:szCs w:val="24"/>
          <w:rtl/>
        </w:rPr>
      </w:pPr>
      <w:r w:rsidRPr="009C607F">
        <w:rPr>
          <w:rFonts w:ascii="David" w:hAnsi="David" w:cs="David"/>
          <w:b/>
          <w:bCs/>
          <w:noProof w:val="0"/>
          <w:sz w:val="24"/>
          <w:szCs w:val="24"/>
          <w:rtl/>
          <w:lang w:eastAsia="en-US"/>
        </w:rPr>
        <w:t>(3)</w:t>
      </w:r>
      <w:r w:rsidRPr="009C607F">
        <w:rPr>
          <w:rFonts w:ascii="David" w:hAnsi="David" w:cs="David"/>
          <w:b/>
          <w:bCs/>
          <w:noProof w:val="0"/>
          <w:sz w:val="24"/>
          <w:szCs w:val="24"/>
          <w:rtl/>
          <w:lang w:eastAsia="en-US"/>
        </w:rPr>
        <w:tab/>
        <w:t>המידע הוא כמפורט בסעיף 384א לחוק הביטוח הלאומי [נוסח משולב], התשנ"ה-1995 או בתקנות לפיו, ובלבד שמידע כאמור יימסר למוסד לביטוח לאומי ושמידע זה נדרש לתכליות האמורות באותו סעיף, ובמידה שנדרש"</w:t>
      </w:r>
    </w:p>
    <w:p w:rsidR="009C607F" w:rsidRPr="009C607F" w:rsidRDefault="009C607F" w:rsidP="0091779B">
      <w:pPr>
        <w:pStyle w:val="P00"/>
        <w:spacing w:before="120" w:line="360" w:lineRule="auto"/>
        <w:ind w:left="1653" w:right="142" w:hanging="272"/>
        <w:rPr>
          <w:rStyle w:val="default"/>
          <w:rFonts w:ascii="David" w:hAnsi="David" w:cs="David"/>
          <w:b/>
          <w:bCs/>
          <w:sz w:val="24"/>
          <w:szCs w:val="24"/>
          <w:rtl/>
        </w:rPr>
      </w:pPr>
      <w:r w:rsidRPr="009C607F">
        <w:rPr>
          <w:rStyle w:val="default"/>
          <w:rFonts w:ascii="David" w:hAnsi="David" w:cs="David"/>
          <w:b/>
          <w:bCs/>
          <w:sz w:val="24"/>
          <w:szCs w:val="24"/>
          <w:rtl/>
        </w:rPr>
        <w:t>(א1)</w:t>
      </w:r>
      <w:r w:rsidRPr="009C607F">
        <w:rPr>
          <w:rStyle w:val="default"/>
          <w:rFonts w:ascii="David" w:hAnsi="David" w:cs="David"/>
          <w:b/>
          <w:bCs/>
          <w:sz w:val="24"/>
          <w:szCs w:val="24"/>
          <w:rtl/>
        </w:rPr>
        <w:tab/>
        <w:t>לענין סעיף קטן (א)(1) רשאי שר האוצר לתת גם היתר לגילוי מידע לסוגיו, ובלבד שהיתר כאמור יינתן לבעלי תפקידים שצוינו בו לצורך מילוי תפקידם כדין, ומנימוקים שיירשמו.</w:t>
      </w:r>
    </w:p>
    <w:p w:rsidR="009C607F" w:rsidRPr="009C607F" w:rsidRDefault="009C607F" w:rsidP="0091779B">
      <w:pPr>
        <w:pStyle w:val="P00"/>
        <w:spacing w:before="120" w:line="360" w:lineRule="auto"/>
        <w:ind w:left="661" w:right="142"/>
        <w:rPr>
          <w:rStyle w:val="default"/>
          <w:rFonts w:ascii="David" w:hAnsi="David" w:cs="David"/>
          <w:b/>
          <w:bCs/>
          <w:vanish/>
          <w:color w:val="FF0000"/>
          <w:sz w:val="24"/>
          <w:szCs w:val="24"/>
          <w:shd w:val="clear" w:color="auto" w:fill="FFFF99"/>
          <w:rtl/>
        </w:rPr>
      </w:pPr>
      <w:bookmarkStart w:id="2" w:name="Rov319"/>
      <w:r w:rsidRPr="009C607F">
        <w:rPr>
          <w:rStyle w:val="default"/>
          <w:rFonts w:ascii="David" w:hAnsi="David" w:cs="David"/>
          <w:b/>
          <w:bCs/>
          <w:vanish/>
          <w:color w:val="FF0000"/>
          <w:sz w:val="24"/>
          <w:szCs w:val="24"/>
          <w:shd w:val="clear" w:color="auto" w:fill="FFFF99"/>
          <w:rtl/>
        </w:rPr>
        <w:t>מיום 31.3.1998</w:t>
      </w:r>
    </w:p>
    <w:p w:rsidR="009C607F" w:rsidRPr="009C607F" w:rsidRDefault="009C607F" w:rsidP="0091779B">
      <w:pPr>
        <w:pStyle w:val="P00"/>
        <w:spacing w:before="120" w:line="360" w:lineRule="auto"/>
        <w:ind w:left="661" w:right="142"/>
        <w:rPr>
          <w:rStyle w:val="default"/>
          <w:rFonts w:ascii="David" w:hAnsi="David" w:cs="David"/>
          <w:b/>
          <w:bCs/>
          <w:vanish/>
          <w:sz w:val="24"/>
          <w:szCs w:val="24"/>
          <w:shd w:val="clear" w:color="auto" w:fill="FFFF99"/>
          <w:rtl/>
        </w:rPr>
      </w:pPr>
      <w:r w:rsidRPr="009C607F">
        <w:rPr>
          <w:rStyle w:val="default"/>
          <w:rFonts w:ascii="David" w:hAnsi="David" w:cs="David"/>
          <w:b/>
          <w:bCs/>
          <w:vanish/>
          <w:sz w:val="24"/>
          <w:szCs w:val="24"/>
          <w:shd w:val="clear" w:color="auto" w:fill="FFFF99"/>
          <w:rtl/>
        </w:rPr>
        <w:t>תיקון מס' 18</w:t>
      </w:r>
    </w:p>
    <w:p w:rsidR="009C607F" w:rsidRPr="009C607F" w:rsidRDefault="00284EA7" w:rsidP="0091779B">
      <w:pPr>
        <w:pStyle w:val="P00"/>
        <w:spacing w:before="120" w:line="360" w:lineRule="auto"/>
        <w:ind w:left="661" w:right="142"/>
        <w:rPr>
          <w:rStyle w:val="default"/>
          <w:rFonts w:ascii="David" w:hAnsi="David" w:cs="David"/>
          <w:b/>
          <w:bCs/>
          <w:vanish/>
          <w:sz w:val="24"/>
          <w:szCs w:val="24"/>
          <w:shd w:val="clear" w:color="auto" w:fill="FFFF99"/>
          <w:rtl/>
        </w:rPr>
      </w:pPr>
      <w:hyperlink r:id="rId8" w:history="1">
        <w:r w:rsidR="009C607F" w:rsidRPr="009C607F">
          <w:rPr>
            <w:rStyle w:val="Hyperlink"/>
            <w:rFonts w:ascii="David" w:hAnsi="David" w:cs="David"/>
            <w:b/>
            <w:bCs/>
            <w:vanish/>
            <w:sz w:val="24"/>
            <w:szCs w:val="24"/>
            <w:shd w:val="clear" w:color="auto" w:fill="FFFF99"/>
            <w:rtl/>
          </w:rPr>
          <w:t>ס"ח תשנ"ח מס' 1663</w:t>
        </w:r>
      </w:hyperlink>
      <w:r w:rsidR="009C607F" w:rsidRPr="009C607F">
        <w:rPr>
          <w:rStyle w:val="default"/>
          <w:rFonts w:ascii="David" w:hAnsi="David" w:cs="David"/>
          <w:b/>
          <w:bCs/>
          <w:vanish/>
          <w:sz w:val="24"/>
          <w:szCs w:val="24"/>
          <w:shd w:val="clear" w:color="auto" w:fill="FFFF99"/>
          <w:rtl/>
        </w:rPr>
        <w:t xml:space="preserve"> מיום 31.3.1998 עמ' 185 (</w:t>
      </w:r>
      <w:hyperlink r:id="rId9" w:history="1">
        <w:r w:rsidR="009C607F" w:rsidRPr="009C607F">
          <w:rPr>
            <w:rStyle w:val="Hyperlink"/>
            <w:rFonts w:ascii="David" w:hAnsi="David" w:cs="David"/>
            <w:b/>
            <w:bCs/>
            <w:vanish/>
            <w:sz w:val="24"/>
            <w:szCs w:val="24"/>
            <w:shd w:val="clear" w:color="auto" w:fill="FFFF99"/>
            <w:rtl/>
          </w:rPr>
          <w:t>ה"ח 2596</w:t>
        </w:r>
      </w:hyperlink>
      <w:r w:rsidR="009C607F" w:rsidRPr="009C607F">
        <w:rPr>
          <w:rStyle w:val="default"/>
          <w:rFonts w:ascii="David" w:hAnsi="David" w:cs="David"/>
          <w:b/>
          <w:bCs/>
          <w:vanish/>
          <w:sz w:val="24"/>
          <w:szCs w:val="24"/>
          <w:shd w:val="clear" w:color="auto" w:fill="FFFF99"/>
          <w:rtl/>
        </w:rPr>
        <w:t>)</w:t>
      </w:r>
    </w:p>
    <w:bookmarkEnd w:id="2"/>
    <w:p w:rsidR="009C607F" w:rsidRPr="009C607F" w:rsidRDefault="00573490" w:rsidP="0091779B">
      <w:pPr>
        <w:pStyle w:val="P00"/>
        <w:spacing w:before="120" w:line="360" w:lineRule="auto"/>
        <w:ind w:left="1381" w:right="142" w:hanging="295"/>
        <w:rPr>
          <w:rStyle w:val="default"/>
          <w:rFonts w:ascii="David" w:hAnsi="David" w:cs="David"/>
          <w:b/>
          <w:bCs/>
          <w:sz w:val="24"/>
          <w:szCs w:val="24"/>
          <w:rtl/>
        </w:rPr>
      </w:pPr>
      <w:r w:rsidRPr="009C607F">
        <w:rPr>
          <w:rStyle w:val="default"/>
          <w:rFonts w:ascii="David" w:hAnsi="David" w:cs="David"/>
          <w:b/>
          <w:bCs/>
          <w:sz w:val="24"/>
          <w:szCs w:val="24"/>
          <w:rtl/>
        </w:rPr>
        <w:t xml:space="preserve"> </w:t>
      </w:r>
      <w:r w:rsidR="009C607F" w:rsidRPr="009C607F">
        <w:rPr>
          <w:rStyle w:val="default"/>
          <w:rFonts w:ascii="David" w:hAnsi="David" w:cs="David"/>
          <w:b/>
          <w:bCs/>
          <w:sz w:val="24"/>
          <w:szCs w:val="24"/>
          <w:rtl/>
        </w:rPr>
        <w:t>(ב)</w:t>
      </w:r>
      <w:r w:rsidR="009C607F" w:rsidRPr="009C607F">
        <w:rPr>
          <w:rStyle w:val="default"/>
          <w:rFonts w:ascii="David" w:hAnsi="David" w:cs="David"/>
          <w:b/>
          <w:bCs/>
          <w:sz w:val="24"/>
          <w:szCs w:val="24"/>
          <w:rtl/>
        </w:rPr>
        <w:tab/>
        <w:t>הגיעה לאדם ידיעה על פי סעיף קטן (א), יראוהו כמי שקיבל אותה אגב ביצוע חוק זה.</w:t>
      </w:r>
    </w:p>
    <w:p w:rsidR="009C607F" w:rsidRPr="009C607F" w:rsidRDefault="009C607F" w:rsidP="0091779B">
      <w:pPr>
        <w:pStyle w:val="P00"/>
        <w:spacing w:before="120" w:line="360" w:lineRule="auto"/>
        <w:ind w:left="1381" w:right="142" w:hanging="295"/>
        <w:rPr>
          <w:rFonts w:ascii="David" w:hAnsi="David" w:cs="David"/>
          <w:b/>
          <w:bCs/>
          <w:sz w:val="24"/>
          <w:szCs w:val="24"/>
          <w:rtl/>
        </w:rPr>
      </w:pPr>
      <w:r w:rsidRPr="009C607F">
        <w:rPr>
          <w:rStyle w:val="default"/>
          <w:rFonts w:ascii="David" w:hAnsi="David" w:cs="David"/>
          <w:b/>
          <w:bCs/>
          <w:sz w:val="24"/>
          <w:szCs w:val="24"/>
          <w:rtl/>
        </w:rPr>
        <w:t>(ג)</w:t>
      </w:r>
      <w:r w:rsidRPr="009C607F">
        <w:rPr>
          <w:rStyle w:val="default"/>
          <w:rFonts w:ascii="David" w:hAnsi="David" w:cs="David"/>
          <w:b/>
          <w:bCs/>
          <w:sz w:val="24"/>
          <w:szCs w:val="24"/>
          <w:rtl/>
        </w:rPr>
        <w:tab/>
        <w:t>גילה אדם שלא כדין ידיעה שהגיעה אליו אגב ביצועו של חוק זה, דינו - מאסר שנה או קנס 20,000 לירות".</w:t>
      </w:r>
    </w:p>
    <w:p w:rsidR="00573490" w:rsidRDefault="00573490" w:rsidP="00DC461A">
      <w:pPr>
        <w:pStyle w:val="ad"/>
        <w:numPr>
          <w:ilvl w:val="0"/>
          <w:numId w:val="1"/>
        </w:numPr>
        <w:spacing w:line="360" w:lineRule="auto"/>
        <w:jc w:val="both"/>
        <w:rPr>
          <w:rFonts w:ascii="Arial" w:hAnsi="Arial"/>
          <w:noProof w:val="0"/>
        </w:rPr>
      </w:pPr>
      <w:r>
        <w:rPr>
          <w:rFonts w:ascii="Arial" w:hAnsi="Arial" w:hint="cs"/>
          <w:noProof w:val="0"/>
          <w:rtl/>
        </w:rPr>
        <w:lastRenderedPageBreak/>
        <w:t>לעניין השיקולים שעל בית המשפט לשקול כאשר, כאשר מגיעה בפניו בקשה לגילוי מידע בתיק עליו חלים הוראות חוק מס ערך מוסף, אפנה ל</w:t>
      </w:r>
      <w:r w:rsidRPr="00573490">
        <w:rPr>
          <w:rFonts w:ascii="Arial" w:hAnsi="Arial"/>
          <w:noProof w:val="0"/>
          <w:rtl/>
        </w:rPr>
        <w:t>רע"א 68</w:t>
      </w:r>
      <w:r w:rsidR="00DC461A">
        <w:rPr>
          <w:rFonts w:ascii="Arial" w:hAnsi="Arial" w:hint="cs"/>
          <w:noProof w:val="0"/>
          <w:rtl/>
        </w:rPr>
        <w:t>/</w:t>
      </w:r>
      <w:r w:rsidRPr="00573490">
        <w:rPr>
          <w:rFonts w:ascii="Arial" w:hAnsi="Arial"/>
          <w:noProof w:val="0"/>
          <w:rtl/>
        </w:rPr>
        <w:t xml:space="preserve">88  </w:t>
      </w:r>
      <w:r w:rsidRPr="00573490">
        <w:rPr>
          <w:rFonts w:ascii="Arial" w:hAnsi="Arial"/>
          <w:b/>
          <w:bCs/>
          <w:noProof w:val="0"/>
          <w:rtl/>
        </w:rPr>
        <w:t>זילברמן </w:t>
      </w:r>
      <w:r w:rsidRPr="00573490">
        <w:rPr>
          <w:rFonts w:ascii="Arial" w:hAnsi="Arial" w:hint="cs"/>
          <w:b/>
          <w:bCs/>
          <w:noProof w:val="0"/>
          <w:rtl/>
        </w:rPr>
        <w:t>נ' ב</w:t>
      </w:r>
      <w:r w:rsidRPr="00573490">
        <w:rPr>
          <w:rFonts w:ascii="Arial" w:hAnsi="Arial"/>
          <w:b/>
          <w:bCs/>
          <w:noProof w:val="0"/>
          <w:rtl/>
        </w:rPr>
        <w:t>נק אמריקאי ישרא</w:t>
      </w:r>
      <w:r w:rsidR="00DC461A">
        <w:rPr>
          <w:rFonts w:ascii="Arial" w:hAnsi="Arial" w:hint="cs"/>
          <w:b/>
          <w:bCs/>
          <w:noProof w:val="0"/>
          <w:rtl/>
        </w:rPr>
        <w:t>לי</w:t>
      </w:r>
      <w:r w:rsidR="00DC461A" w:rsidRPr="00DC461A">
        <w:rPr>
          <w:rFonts w:ascii="Arial" w:hAnsi="Arial" w:hint="cs"/>
          <w:noProof w:val="0"/>
          <w:rtl/>
        </w:rPr>
        <w:t xml:space="preserve">, פ"ד </w:t>
      </w:r>
      <w:r w:rsidRPr="00573490">
        <w:rPr>
          <w:rFonts w:ascii="Arial" w:hAnsi="Arial"/>
          <w:noProof w:val="0"/>
          <w:rtl/>
        </w:rPr>
        <w:t>מב(2) 383</w:t>
      </w:r>
      <w:r>
        <w:rPr>
          <w:rFonts w:ascii="Arial" w:hAnsi="Arial" w:hint="cs"/>
          <w:noProof w:val="0"/>
          <w:rtl/>
        </w:rPr>
        <w:t xml:space="preserve"> (1988), אליו הפנתה המדינה, אשר קובע:</w:t>
      </w:r>
    </w:p>
    <w:p w:rsidR="00573490" w:rsidRPr="00573490" w:rsidRDefault="00573490" w:rsidP="00DB1BC0">
      <w:pPr>
        <w:pStyle w:val="ad"/>
        <w:tabs>
          <w:tab w:val="left" w:pos="288"/>
          <w:tab w:val="left" w:pos="720"/>
          <w:tab w:val="left" w:pos="1296"/>
        </w:tabs>
        <w:autoSpaceDE w:val="0"/>
        <w:autoSpaceDN w:val="0"/>
        <w:adjustRightInd w:val="0"/>
        <w:spacing w:after="80" w:line="360" w:lineRule="auto"/>
        <w:ind w:left="1296"/>
        <w:jc w:val="both"/>
        <w:rPr>
          <w:rFonts w:ascii="Arial" w:hAnsi="Arial"/>
          <w:b/>
          <w:bCs/>
          <w:noProof w:val="0"/>
          <w:rtl/>
        </w:rPr>
      </w:pPr>
      <w:r>
        <w:rPr>
          <w:rFonts w:ascii="Arial" w:hAnsi="Arial" w:hint="cs"/>
          <w:b/>
          <w:bCs/>
          <w:noProof w:val="0"/>
          <w:rtl/>
        </w:rPr>
        <w:t>"</w:t>
      </w:r>
      <w:r w:rsidRPr="00573490">
        <w:rPr>
          <w:rFonts w:ascii="Arial" w:hAnsi="Arial"/>
          <w:b/>
          <w:bCs/>
          <w:noProof w:val="0"/>
          <w:rtl/>
        </w:rPr>
        <w:t>מובן, אם כן, כי מתן פרשנות מרחיבה לסעיף 142(א) דנן, באופן</w:t>
      </w:r>
      <w:r w:rsidRPr="00573490">
        <w:rPr>
          <w:rFonts w:ascii="Arial" w:hAnsi="Arial"/>
          <w:b/>
          <w:bCs/>
          <w:noProof w:val="0"/>
        </w:rPr>
        <w:t xml:space="preserve"> </w:t>
      </w:r>
      <w:r w:rsidRPr="00573490">
        <w:rPr>
          <w:rFonts w:ascii="Arial" w:hAnsi="Arial"/>
          <w:b/>
          <w:bCs/>
          <w:noProof w:val="0"/>
          <w:rtl/>
        </w:rPr>
        <w:t>שיתאפשר לגלות ראיות - שמטבען, כאמור, סודיות המה - לצורך שימוש</w:t>
      </w:r>
      <w:r w:rsidRPr="00573490">
        <w:rPr>
          <w:rFonts w:ascii="Arial" w:hAnsi="Arial"/>
          <w:b/>
          <w:bCs/>
          <w:noProof w:val="0"/>
        </w:rPr>
        <w:t xml:space="preserve"> </w:t>
      </w:r>
      <w:r w:rsidRPr="00573490">
        <w:rPr>
          <w:rFonts w:ascii="Arial" w:hAnsi="Arial"/>
          <w:b/>
          <w:bCs/>
          <w:noProof w:val="0"/>
          <w:rtl/>
        </w:rPr>
        <w:t>בסכסוך אזרחי בין שני צדדים פרטיים, נוגד את תכליתו האמורה של סעיף 142(א), שכן אם יידע נישום, כי מידע שמסר לשלטונות המס עשוי להיחשף ולשמש גורמים אחרים (ולמעט, כמובן, רשויות המדינה</w:t>
      </w:r>
      <w:r w:rsidR="00DB1BC0">
        <w:rPr>
          <w:rFonts w:ascii="Arial" w:hAnsi="Arial" w:hint="cs"/>
          <w:b/>
          <w:bCs/>
          <w:noProof w:val="0"/>
          <w:rtl/>
        </w:rPr>
        <w:t xml:space="preserve">), </w:t>
      </w:r>
      <w:r w:rsidRPr="00573490">
        <w:rPr>
          <w:rFonts w:ascii="Arial" w:hAnsi="Arial"/>
          <w:b/>
          <w:bCs/>
          <w:noProof w:val="0"/>
          <w:rtl/>
        </w:rPr>
        <w:t>העלולים להגיש תובענה כנגדו, עלול הוא להימנע מלמסור אותו המידע לשלטונות המס</w:t>
      </w:r>
      <w:r w:rsidRPr="00573490">
        <w:rPr>
          <w:rFonts w:ascii="Arial" w:hAnsi="Arial"/>
          <w:b/>
          <w:bCs/>
          <w:noProof w:val="0"/>
        </w:rPr>
        <w:t>.</w:t>
      </w:r>
    </w:p>
    <w:p w:rsidR="00573490" w:rsidRDefault="00573490" w:rsidP="00DB1BC0">
      <w:pPr>
        <w:pStyle w:val="ad"/>
        <w:tabs>
          <w:tab w:val="left" w:pos="288"/>
          <w:tab w:val="left" w:pos="720"/>
          <w:tab w:val="left" w:pos="1296"/>
        </w:tabs>
        <w:autoSpaceDE w:val="0"/>
        <w:autoSpaceDN w:val="0"/>
        <w:adjustRightInd w:val="0"/>
        <w:spacing w:before="120" w:after="120" w:line="360" w:lineRule="auto"/>
        <w:ind w:left="1296"/>
        <w:contextualSpacing w:val="0"/>
        <w:jc w:val="both"/>
        <w:rPr>
          <w:rFonts w:ascii="Arial" w:hAnsi="Arial"/>
          <w:noProof w:val="0"/>
          <w:rtl/>
        </w:rPr>
      </w:pPr>
      <w:r w:rsidRPr="00573490">
        <w:rPr>
          <w:rFonts w:ascii="Arial" w:hAnsi="Arial"/>
          <w:b/>
          <w:bCs/>
          <w:noProof w:val="0"/>
          <w:rtl/>
        </w:rPr>
        <w:t>בית-משפט אינו נוטה להרחיב פרשנותו המילולית של סעיף סודיות הקבוע בחוק פיסקאלי, קל וחומר כאשר משמעותו המילולית, כמו של סעי</w:t>
      </w:r>
      <w:r w:rsidR="00DB1BC0">
        <w:rPr>
          <w:rFonts w:ascii="Arial" w:hAnsi="Arial" w:hint="cs"/>
          <w:b/>
          <w:bCs/>
          <w:noProof w:val="0"/>
          <w:rtl/>
        </w:rPr>
        <w:t>ף 142</w:t>
      </w:r>
      <w:r w:rsidRPr="00573490">
        <w:rPr>
          <w:rFonts w:ascii="Arial" w:hAnsi="Arial" w:hint="cs"/>
          <w:b/>
          <w:bCs/>
          <w:noProof w:val="0"/>
          <w:rtl/>
        </w:rPr>
        <w:t xml:space="preserve"> </w:t>
      </w:r>
      <w:r w:rsidRPr="00573490">
        <w:rPr>
          <w:rFonts w:ascii="Arial" w:hAnsi="Arial"/>
          <w:b/>
          <w:bCs/>
          <w:noProof w:val="0"/>
          <w:rtl/>
        </w:rPr>
        <w:t>דנן, מבהירה היטב את הכוונה לשמור על הסודיות של ידיעות שהגיעו לאדם אגב ביצוע חוק זה, למעט החריגים הקבועים בסעיף 142(א) גופו</w:t>
      </w:r>
      <w:r>
        <w:rPr>
          <w:rFonts w:ascii="Arial" w:hAnsi="Arial" w:hint="cs"/>
          <w:b/>
          <w:bCs/>
          <w:noProof w:val="0"/>
          <w:rtl/>
        </w:rPr>
        <w:t>"</w:t>
      </w:r>
      <w:r w:rsidRPr="00573490">
        <w:rPr>
          <w:rFonts w:ascii="Arial" w:hAnsi="Arial"/>
          <w:b/>
          <w:bCs/>
          <w:noProof w:val="0"/>
          <w:rtl/>
        </w:rPr>
        <w:t>.</w:t>
      </w:r>
    </w:p>
    <w:p w:rsidR="0091779B" w:rsidRPr="0091779B" w:rsidRDefault="0091779B" w:rsidP="0091779B">
      <w:pPr>
        <w:pStyle w:val="ad"/>
        <w:numPr>
          <w:ilvl w:val="0"/>
          <w:numId w:val="1"/>
        </w:numPr>
        <w:autoSpaceDE w:val="0"/>
        <w:autoSpaceDN w:val="0"/>
        <w:adjustRightInd w:val="0"/>
        <w:spacing w:before="120" w:after="80" w:line="360" w:lineRule="auto"/>
        <w:ind w:left="1296"/>
        <w:contextualSpacing w:val="0"/>
        <w:jc w:val="both"/>
        <w:rPr>
          <w:rFonts w:ascii="Arial" w:hAnsi="Arial"/>
          <w:noProof w:val="0"/>
          <w:rtl/>
        </w:rPr>
      </w:pPr>
      <w:r>
        <w:rPr>
          <w:rFonts w:ascii="Arial" w:hAnsi="Arial" w:hint="cs"/>
          <w:noProof w:val="0"/>
          <w:rtl/>
        </w:rPr>
        <w:t>כעת יש לבחון את האמור לעיל על המקרה דנן.</w:t>
      </w:r>
    </w:p>
    <w:p w:rsidR="00573490" w:rsidRPr="00573490" w:rsidRDefault="00573490" w:rsidP="0091779B">
      <w:pPr>
        <w:tabs>
          <w:tab w:val="left" w:pos="288"/>
          <w:tab w:val="left" w:pos="720"/>
          <w:tab w:val="left" w:pos="1296"/>
        </w:tabs>
        <w:autoSpaceDE w:val="0"/>
        <w:autoSpaceDN w:val="0"/>
        <w:adjustRightInd w:val="0"/>
        <w:spacing w:after="80" w:line="360" w:lineRule="auto"/>
        <w:jc w:val="both"/>
        <w:rPr>
          <w:rFonts w:ascii="Arial" w:hAnsi="Arial"/>
          <w:noProof w:val="0"/>
          <w:u w:val="single"/>
          <w:rtl/>
        </w:rPr>
      </w:pPr>
      <w:r w:rsidRPr="00573490">
        <w:rPr>
          <w:rFonts w:ascii="Arial" w:hAnsi="Arial" w:hint="cs"/>
          <w:noProof w:val="0"/>
          <w:u w:val="single"/>
          <w:rtl/>
        </w:rPr>
        <w:t>מהכלל אל הפרט</w:t>
      </w:r>
    </w:p>
    <w:p w:rsidR="009C607F" w:rsidRDefault="00573490" w:rsidP="00384DD8">
      <w:pPr>
        <w:pStyle w:val="ad"/>
        <w:numPr>
          <w:ilvl w:val="0"/>
          <w:numId w:val="1"/>
        </w:numPr>
        <w:spacing w:line="360" w:lineRule="auto"/>
        <w:jc w:val="both"/>
        <w:rPr>
          <w:rFonts w:ascii="Arial" w:hAnsi="Arial"/>
          <w:noProof w:val="0"/>
        </w:rPr>
      </w:pPr>
      <w:r>
        <w:rPr>
          <w:rFonts w:ascii="Arial" w:hAnsi="Arial" w:hint="cs"/>
          <w:noProof w:val="0"/>
          <w:rtl/>
        </w:rPr>
        <w:t>התרשמתי כי הנתבעים נהגו בחוסר תום לב בכך שלא פירטו כי אין זו הפעם הראשונה בה פנו לבית משפט בבקשה לקבל חומר חקירתה של התובעת ביחידת להב של המשטרה, ו</w:t>
      </w:r>
      <w:r w:rsidR="00384DD8">
        <w:rPr>
          <w:rFonts w:ascii="Arial" w:hAnsi="Arial" w:hint="cs"/>
          <w:noProof w:val="0"/>
          <w:rtl/>
        </w:rPr>
        <w:t xml:space="preserve">כן </w:t>
      </w:r>
      <w:r>
        <w:rPr>
          <w:rFonts w:ascii="Arial" w:hAnsi="Arial" w:hint="cs"/>
          <w:noProof w:val="0"/>
          <w:rtl/>
        </w:rPr>
        <w:t>לא פירטו בבקשתם כי החקירה נערכה במסגרת תיק כלכלי.</w:t>
      </w:r>
    </w:p>
    <w:p w:rsidR="00573490" w:rsidRDefault="00573490" w:rsidP="00573490">
      <w:pPr>
        <w:pStyle w:val="ad"/>
        <w:numPr>
          <w:ilvl w:val="0"/>
          <w:numId w:val="1"/>
        </w:numPr>
        <w:spacing w:line="360" w:lineRule="auto"/>
        <w:jc w:val="both"/>
        <w:rPr>
          <w:rFonts w:ascii="Arial" w:hAnsi="Arial"/>
          <w:noProof w:val="0"/>
        </w:rPr>
      </w:pPr>
      <w:r>
        <w:rPr>
          <w:rFonts w:ascii="Arial" w:hAnsi="Arial" w:hint="cs"/>
          <w:noProof w:val="0"/>
          <w:rtl/>
        </w:rPr>
        <w:t>התובעת פירטה בתגובתה מיום 18.12.22 כי במסגרת הליך משפטי שנוהל בבית המשפט השלום בחיפה (ת"ט 70315-11-16) וכן בבית המשפט המחוזי בחיפה (רע"א 55621-01-22) נדחתה פעם אחר פעם בקשת הנתבע הנ"ל נוכח התנגדות המדינה ובהסתמך על הוראות 74 לחסד"פ, נוכח כך כי הנתבע לא עמד בתנאיו (התובעת צרפה מסמכי ההחלטות כנספחים א' וב' לתגובתה).</w:t>
      </w:r>
    </w:p>
    <w:p w:rsidR="00573490" w:rsidRDefault="00573490" w:rsidP="00573490">
      <w:pPr>
        <w:pStyle w:val="ad"/>
        <w:numPr>
          <w:ilvl w:val="0"/>
          <w:numId w:val="1"/>
        </w:numPr>
        <w:spacing w:line="360" w:lineRule="auto"/>
        <w:jc w:val="both"/>
        <w:rPr>
          <w:rFonts w:ascii="Arial" w:hAnsi="Arial"/>
          <w:noProof w:val="0"/>
        </w:rPr>
      </w:pPr>
      <w:r>
        <w:rPr>
          <w:rFonts w:ascii="Arial" w:hAnsi="Arial" w:hint="cs"/>
          <w:noProof w:val="0"/>
          <w:rtl/>
        </w:rPr>
        <w:t>לאחר בחינת המידע שהובא לעיוני כעת,</w:t>
      </w:r>
      <w:r w:rsidR="0091779B">
        <w:rPr>
          <w:rFonts w:ascii="Arial" w:hAnsi="Arial" w:hint="cs"/>
          <w:noProof w:val="0"/>
          <w:rtl/>
        </w:rPr>
        <w:t xml:space="preserve"> בשל הנחית פרקליט המדינה, בשל סעיף 142 לחוק מס ערך מוסף, </w:t>
      </w:r>
      <w:r>
        <w:rPr>
          <w:rFonts w:ascii="Arial" w:hAnsi="Arial" w:hint="cs"/>
          <w:noProof w:val="0"/>
          <w:rtl/>
        </w:rPr>
        <w:t xml:space="preserve"> וכן בשל עמדת המדינה, התרשמתי כי מקרה זה איננו המקרה המתאים לחרוג מהכלל בדבר אי גילויו של חומר חקירה ככלל וחומר חקירה לפי חוק מס ערך מוסף בפרט.</w:t>
      </w:r>
    </w:p>
    <w:p w:rsidR="0091779B" w:rsidRDefault="0091779B" w:rsidP="00573490">
      <w:pPr>
        <w:pStyle w:val="ad"/>
        <w:numPr>
          <w:ilvl w:val="0"/>
          <w:numId w:val="1"/>
        </w:numPr>
        <w:spacing w:line="360" w:lineRule="auto"/>
        <w:jc w:val="both"/>
        <w:rPr>
          <w:rFonts w:ascii="Arial" w:hAnsi="Arial"/>
          <w:noProof w:val="0"/>
        </w:rPr>
      </w:pPr>
      <w:r>
        <w:rPr>
          <w:rFonts w:ascii="Arial" w:hAnsi="Arial" w:hint="cs"/>
          <w:noProof w:val="0"/>
          <w:rtl/>
        </w:rPr>
        <w:t>המדינה פירטה בתגובתה כי בתיק זה: "...</w:t>
      </w:r>
      <w:r w:rsidRPr="0091779B">
        <w:rPr>
          <w:rFonts w:ascii="Arial" w:hAnsi="Arial" w:hint="cs"/>
          <w:b/>
          <w:bCs/>
          <w:noProof w:val="0"/>
          <w:rtl/>
        </w:rPr>
        <w:t>היעתרות לחשיפת פרוטוקולים כמבוקש עלולה לפגוע בנכונותם של נישומים ונחקרים בפרט למסור ולדווח מידע אמיתי, מחשש שמידע זה ייחשף שנים לאחר מכן בהליכים שאינם קשורים כלל לנסיבות שבהן המידע התגלה</w:t>
      </w:r>
      <w:r>
        <w:rPr>
          <w:rFonts w:ascii="Arial" w:hAnsi="Arial" w:hint="cs"/>
          <w:noProof w:val="0"/>
          <w:rtl/>
        </w:rPr>
        <w:t xml:space="preserve">". </w:t>
      </w:r>
    </w:p>
    <w:p w:rsidR="0091779B" w:rsidRDefault="0091779B" w:rsidP="00573490">
      <w:pPr>
        <w:pStyle w:val="ad"/>
        <w:numPr>
          <w:ilvl w:val="0"/>
          <w:numId w:val="1"/>
        </w:numPr>
        <w:spacing w:line="360" w:lineRule="auto"/>
        <w:jc w:val="both"/>
        <w:rPr>
          <w:rFonts w:ascii="Arial" w:hAnsi="Arial"/>
          <w:noProof w:val="0"/>
        </w:rPr>
      </w:pPr>
      <w:r>
        <w:rPr>
          <w:rFonts w:ascii="Arial" w:hAnsi="Arial" w:hint="cs"/>
          <w:noProof w:val="0"/>
          <w:rtl/>
        </w:rPr>
        <w:t>בנסיבות תיק זה, ולאחר עיון בטענות הצדדים, מקובלת עלי עמדת המדינה.</w:t>
      </w:r>
    </w:p>
    <w:p w:rsidR="00573490" w:rsidRDefault="00573490" w:rsidP="0091779B">
      <w:pPr>
        <w:pStyle w:val="ad"/>
        <w:numPr>
          <w:ilvl w:val="0"/>
          <w:numId w:val="1"/>
        </w:numPr>
        <w:spacing w:line="360" w:lineRule="auto"/>
        <w:jc w:val="both"/>
        <w:rPr>
          <w:rFonts w:ascii="Arial" w:hAnsi="Arial"/>
          <w:noProof w:val="0"/>
        </w:rPr>
      </w:pPr>
      <w:r>
        <w:rPr>
          <w:rFonts w:ascii="Arial" w:hAnsi="Arial" w:hint="cs"/>
          <w:noProof w:val="0"/>
          <w:rtl/>
        </w:rPr>
        <w:lastRenderedPageBreak/>
        <w:t>מדובר בבקשה לקבלת חומר חקירה של תיק כלכלי</w:t>
      </w:r>
      <w:r w:rsidR="00DB1BC0">
        <w:rPr>
          <w:rFonts w:ascii="Arial" w:hAnsi="Arial" w:hint="cs"/>
          <w:noProof w:val="0"/>
          <w:rtl/>
        </w:rPr>
        <w:t>,</w:t>
      </w:r>
      <w:r>
        <w:rPr>
          <w:rFonts w:ascii="Arial" w:hAnsi="Arial" w:hint="cs"/>
          <w:noProof w:val="0"/>
          <w:rtl/>
        </w:rPr>
        <w:t xml:space="preserve"> </w:t>
      </w:r>
      <w:r w:rsidR="0091779B">
        <w:rPr>
          <w:rFonts w:ascii="Arial" w:hAnsi="Arial" w:hint="cs"/>
          <w:noProof w:val="0"/>
          <w:rtl/>
        </w:rPr>
        <w:t>שנסגר</w:t>
      </w:r>
      <w:r w:rsidR="00DB1BC0">
        <w:rPr>
          <w:rFonts w:ascii="Arial" w:hAnsi="Arial" w:hint="cs"/>
          <w:noProof w:val="0"/>
          <w:rtl/>
        </w:rPr>
        <w:t xml:space="preserve"> ללא כתב אישום,</w:t>
      </w:r>
      <w:r w:rsidR="0091779B">
        <w:rPr>
          <w:rFonts w:ascii="Arial" w:hAnsi="Arial" w:hint="cs"/>
          <w:noProof w:val="0"/>
          <w:rtl/>
        </w:rPr>
        <w:t xml:space="preserve"> </w:t>
      </w:r>
      <w:r>
        <w:rPr>
          <w:rFonts w:ascii="Arial" w:hAnsi="Arial" w:hint="cs"/>
          <w:noProof w:val="0"/>
          <w:rtl/>
        </w:rPr>
        <w:t xml:space="preserve">לצורך הליך אזרחי הצהרתי על </w:t>
      </w:r>
      <w:r w:rsidR="0091779B">
        <w:rPr>
          <w:rFonts w:ascii="Arial" w:hAnsi="Arial" w:hint="cs"/>
          <w:noProof w:val="0"/>
          <w:rtl/>
        </w:rPr>
        <w:t xml:space="preserve">זכויות של </w:t>
      </w:r>
      <w:r>
        <w:rPr>
          <w:rFonts w:ascii="Arial" w:hAnsi="Arial" w:hint="cs"/>
          <w:noProof w:val="0"/>
          <w:rtl/>
        </w:rPr>
        <w:t>דירה שבמחלוקת</w:t>
      </w:r>
      <w:r w:rsidR="0091779B">
        <w:rPr>
          <w:rFonts w:ascii="Arial" w:hAnsi="Arial" w:hint="cs"/>
          <w:noProof w:val="0"/>
          <w:rtl/>
        </w:rPr>
        <w:t xml:space="preserve"> בתיק שעניינו סכסוך משפחתי.</w:t>
      </w:r>
      <w:r>
        <w:rPr>
          <w:rFonts w:ascii="Arial" w:hAnsi="Arial" w:hint="cs"/>
          <w:noProof w:val="0"/>
          <w:rtl/>
        </w:rPr>
        <w:t xml:space="preserve"> לא ה</w:t>
      </w:r>
      <w:r w:rsidR="00DB1BC0">
        <w:rPr>
          <w:rFonts w:ascii="Arial" w:hAnsi="Arial" w:hint="cs"/>
          <w:noProof w:val="0"/>
          <w:rtl/>
        </w:rPr>
        <w:t>ת</w:t>
      </w:r>
      <w:r>
        <w:rPr>
          <w:rFonts w:ascii="Arial" w:hAnsi="Arial" w:hint="cs"/>
          <w:noProof w:val="0"/>
          <w:rtl/>
        </w:rPr>
        <w:t>רשמתי כי נימוקי הנתבעים מצדיקים את מתן הצו המבוקש, ומתן הצו המבוקש עשוי לפגוע בפרטיות גורמים נוספים</w:t>
      </w:r>
      <w:r w:rsidR="00DB1BC0">
        <w:rPr>
          <w:rFonts w:ascii="Arial" w:hAnsi="Arial" w:hint="cs"/>
          <w:noProof w:val="0"/>
          <w:rtl/>
        </w:rPr>
        <w:t>,</w:t>
      </w:r>
      <w:r>
        <w:rPr>
          <w:rFonts w:ascii="Arial" w:hAnsi="Arial" w:hint="cs"/>
          <w:noProof w:val="0"/>
          <w:rtl/>
        </w:rPr>
        <w:t xml:space="preserve"> אשר היו מעורבים בתיק</w:t>
      </w:r>
      <w:r w:rsidR="0091779B">
        <w:rPr>
          <w:rFonts w:ascii="Arial" w:hAnsi="Arial" w:hint="cs"/>
          <w:noProof w:val="0"/>
          <w:rtl/>
        </w:rPr>
        <w:t xml:space="preserve"> כפי שהבהירה המדינה בתגובתה</w:t>
      </w:r>
      <w:r>
        <w:rPr>
          <w:rFonts w:ascii="Arial" w:hAnsi="Arial" w:hint="cs"/>
          <w:noProof w:val="0"/>
          <w:rtl/>
        </w:rPr>
        <w:t>.</w:t>
      </w:r>
    </w:p>
    <w:p w:rsidR="00573490" w:rsidRDefault="00573490" w:rsidP="00DB1BC0">
      <w:pPr>
        <w:pStyle w:val="ad"/>
        <w:numPr>
          <w:ilvl w:val="0"/>
          <w:numId w:val="1"/>
        </w:numPr>
        <w:spacing w:line="360" w:lineRule="auto"/>
        <w:jc w:val="both"/>
        <w:rPr>
          <w:rFonts w:ascii="Arial" w:hAnsi="Arial"/>
          <w:noProof w:val="0"/>
        </w:rPr>
      </w:pPr>
      <w:r>
        <w:rPr>
          <w:rFonts w:ascii="Arial" w:hAnsi="Arial" w:hint="cs"/>
          <w:noProof w:val="0"/>
          <w:rtl/>
        </w:rPr>
        <w:t>בנוסף, לא התרשמתי כי טענות הנתבעים מצדיק</w:t>
      </w:r>
      <w:r w:rsidR="00DB1BC0">
        <w:rPr>
          <w:rFonts w:ascii="Arial" w:hAnsi="Arial" w:hint="cs"/>
          <w:noProof w:val="0"/>
          <w:rtl/>
        </w:rPr>
        <w:t>ות</w:t>
      </w:r>
      <w:r>
        <w:rPr>
          <w:rFonts w:ascii="Arial" w:hAnsi="Arial" w:hint="cs"/>
          <w:noProof w:val="0"/>
          <w:rtl/>
        </w:rPr>
        <w:t xml:space="preserve"> כי פרוטוקול החקירה יובא רק לעיונו של בית המשפט</w:t>
      </w:r>
      <w:r w:rsidR="00DB1BC0">
        <w:rPr>
          <w:rFonts w:ascii="Arial" w:hAnsi="Arial" w:hint="cs"/>
          <w:noProof w:val="0"/>
          <w:rtl/>
        </w:rPr>
        <w:t>, וכי יהיה בכך תרופה להסתייגות המדינה מהגילוי</w:t>
      </w:r>
      <w:r>
        <w:rPr>
          <w:rFonts w:ascii="Arial" w:hAnsi="Arial" w:hint="cs"/>
          <w:noProof w:val="0"/>
          <w:rtl/>
        </w:rPr>
        <w:t>.</w:t>
      </w:r>
      <w:r w:rsidR="00DB1BC0">
        <w:rPr>
          <w:rFonts w:ascii="Arial" w:hAnsi="Arial" w:hint="cs"/>
          <w:noProof w:val="0"/>
          <w:rtl/>
        </w:rPr>
        <w:t xml:space="preserve"> בית המשפט לא יכול לתת פסק דין ללא חשיפת תוכן המסמכים, שיוצגו לו.</w:t>
      </w:r>
    </w:p>
    <w:p w:rsidR="00573490" w:rsidRDefault="00573490" w:rsidP="00DB1BC0">
      <w:pPr>
        <w:pStyle w:val="ad"/>
        <w:numPr>
          <w:ilvl w:val="0"/>
          <w:numId w:val="1"/>
        </w:numPr>
        <w:spacing w:line="360" w:lineRule="auto"/>
        <w:jc w:val="both"/>
        <w:rPr>
          <w:rFonts w:ascii="Arial" w:hAnsi="Arial"/>
          <w:noProof w:val="0"/>
        </w:rPr>
      </w:pPr>
      <w:r>
        <w:rPr>
          <w:rFonts w:ascii="Arial" w:hAnsi="Arial" w:hint="cs"/>
          <w:noProof w:val="0"/>
          <w:rtl/>
        </w:rPr>
        <w:t>אני מורה על קבלת בקשת המדינה</w:t>
      </w:r>
      <w:r w:rsidR="00DB1BC0">
        <w:rPr>
          <w:rFonts w:ascii="Arial" w:hAnsi="Arial" w:hint="cs"/>
          <w:noProof w:val="0"/>
          <w:rtl/>
        </w:rPr>
        <w:t>,</w:t>
      </w:r>
      <w:r>
        <w:rPr>
          <w:rFonts w:ascii="Arial" w:hAnsi="Arial" w:hint="cs"/>
          <w:noProof w:val="0"/>
          <w:rtl/>
        </w:rPr>
        <w:t xml:space="preserve"> ובהתאם על ביטול </w:t>
      </w:r>
      <w:r w:rsidR="00DB1BC0">
        <w:rPr>
          <w:rFonts w:ascii="Arial" w:hAnsi="Arial" w:hint="cs"/>
          <w:noProof w:val="0"/>
          <w:rtl/>
        </w:rPr>
        <w:t>ההחלטה מיום 7.11.22 ו</w:t>
      </w:r>
      <w:r>
        <w:rPr>
          <w:rFonts w:ascii="Arial" w:hAnsi="Arial" w:hint="cs"/>
          <w:noProof w:val="0"/>
          <w:rtl/>
        </w:rPr>
        <w:t>הפסיקתה מיום 8.11.22.</w:t>
      </w:r>
    </w:p>
    <w:p w:rsidR="00573490" w:rsidRDefault="00573490" w:rsidP="00573490">
      <w:pPr>
        <w:pStyle w:val="ad"/>
        <w:numPr>
          <w:ilvl w:val="0"/>
          <w:numId w:val="1"/>
        </w:numPr>
        <w:spacing w:line="360" w:lineRule="auto"/>
        <w:jc w:val="both"/>
        <w:rPr>
          <w:rFonts w:ascii="Arial" w:hAnsi="Arial"/>
          <w:noProof w:val="0"/>
        </w:rPr>
      </w:pPr>
      <w:r>
        <w:rPr>
          <w:rFonts w:ascii="Arial" w:hAnsi="Arial" w:hint="cs"/>
          <w:noProof w:val="0"/>
          <w:rtl/>
        </w:rPr>
        <w:t>בנסיבות אלה, התרשמתי כי אין לקבוע צו להוצאות וכל צד יישא בהוצאותיו.</w:t>
      </w:r>
    </w:p>
    <w:p w:rsidR="00832434" w:rsidRDefault="00832434" w:rsidP="00573490">
      <w:pPr>
        <w:pStyle w:val="ad"/>
        <w:numPr>
          <w:ilvl w:val="0"/>
          <w:numId w:val="1"/>
        </w:numPr>
        <w:spacing w:line="360" w:lineRule="auto"/>
        <w:jc w:val="both"/>
        <w:rPr>
          <w:rFonts w:ascii="Arial" w:hAnsi="Arial"/>
          <w:noProof w:val="0"/>
        </w:rPr>
      </w:pPr>
      <w:r>
        <w:rPr>
          <w:rFonts w:ascii="Arial" w:hAnsi="Arial" w:hint="cs"/>
          <w:noProof w:val="0"/>
          <w:rtl/>
        </w:rPr>
        <w:t>משהסתיימה הבאת הראיות, אני מורה על הגשת סיכומים בתביעות כדלהלן:</w:t>
      </w:r>
    </w:p>
    <w:p w:rsidR="00CE740E" w:rsidRDefault="00CE740E" w:rsidP="00CE740E">
      <w:pPr>
        <w:pStyle w:val="ad"/>
        <w:jc w:val="both"/>
        <w:rPr>
          <w:rFonts w:ascii="Arial" w:hAnsi="Arial"/>
          <w:noProof w:val="0"/>
          <w:rtl/>
        </w:rPr>
      </w:pPr>
    </w:p>
    <w:p w:rsidR="00832434" w:rsidRDefault="00832434" w:rsidP="00CE740E">
      <w:pPr>
        <w:pStyle w:val="ad"/>
        <w:spacing w:line="360" w:lineRule="auto"/>
        <w:jc w:val="both"/>
        <w:rPr>
          <w:rFonts w:ascii="Arial" w:hAnsi="Arial"/>
          <w:noProof w:val="0"/>
        </w:rPr>
      </w:pPr>
      <w:r>
        <w:rPr>
          <w:rFonts w:ascii="Arial" w:hAnsi="Arial" w:hint="cs"/>
          <w:noProof w:val="0"/>
          <w:rtl/>
        </w:rPr>
        <w:t xml:space="preserve">התובעת </w:t>
      </w:r>
      <w:r w:rsidR="00CE740E">
        <w:rPr>
          <w:rFonts w:ascii="Arial" w:hAnsi="Arial" w:hint="cs"/>
          <w:noProof w:val="0"/>
          <w:rtl/>
        </w:rPr>
        <w:t>בתמ"ש 27262-07-20 ובתמ"ש 44046-06-21</w:t>
      </w:r>
      <w:r>
        <w:rPr>
          <w:rFonts w:ascii="Arial" w:hAnsi="Arial" w:hint="cs"/>
          <w:noProof w:val="0"/>
          <w:rtl/>
        </w:rPr>
        <w:t xml:space="preserve"> תגיש סיכומיה בתוך 45 יום, הנתבע</w:t>
      </w:r>
      <w:r w:rsidR="00CE740E">
        <w:rPr>
          <w:rFonts w:ascii="Arial" w:hAnsi="Arial" w:hint="cs"/>
          <w:noProof w:val="0"/>
          <w:rtl/>
        </w:rPr>
        <w:t>ת</w:t>
      </w:r>
      <w:r>
        <w:rPr>
          <w:rFonts w:ascii="Arial" w:hAnsi="Arial" w:hint="cs"/>
          <w:noProof w:val="0"/>
          <w:rtl/>
        </w:rPr>
        <w:t>, התובע</w:t>
      </w:r>
      <w:r w:rsidR="00CE740E">
        <w:rPr>
          <w:rFonts w:ascii="Arial" w:hAnsi="Arial" w:hint="cs"/>
          <w:noProof w:val="0"/>
          <w:rtl/>
        </w:rPr>
        <w:t>ת</w:t>
      </w:r>
      <w:r>
        <w:rPr>
          <w:rFonts w:ascii="Arial" w:hAnsi="Arial" w:hint="cs"/>
          <w:noProof w:val="0"/>
          <w:rtl/>
        </w:rPr>
        <w:t xml:space="preserve"> בתמ"ש </w:t>
      </w:r>
      <w:r w:rsidR="00CE740E">
        <w:rPr>
          <w:rFonts w:ascii="Arial" w:hAnsi="Arial" w:hint="cs"/>
          <w:noProof w:val="0"/>
          <w:rtl/>
        </w:rPr>
        <w:t>10778-08-20</w:t>
      </w:r>
      <w:r>
        <w:rPr>
          <w:rFonts w:ascii="Arial" w:hAnsi="Arial" w:hint="cs"/>
          <w:noProof w:val="0"/>
          <w:rtl/>
        </w:rPr>
        <w:t>, בתוך 45 יום מקבלת סיכומי התובעת, ול</w:t>
      </w:r>
      <w:r w:rsidR="00CE740E">
        <w:rPr>
          <w:rFonts w:ascii="Arial" w:hAnsi="Arial" w:hint="cs"/>
          <w:noProof w:val="0"/>
          <w:rtl/>
        </w:rPr>
        <w:t xml:space="preserve">נתבעים בתמ"ש 10778-08-20 </w:t>
      </w:r>
      <w:r>
        <w:rPr>
          <w:rFonts w:ascii="Arial" w:hAnsi="Arial" w:hint="cs"/>
          <w:noProof w:val="0"/>
          <w:rtl/>
        </w:rPr>
        <w:t>תהיה זכות לסיכומי תשובה קצרים רק בתביעה נגד</w:t>
      </w:r>
      <w:r w:rsidR="00CE740E">
        <w:rPr>
          <w:rFonts w:ascii="Arial" w:hAnsi="Arial" w:hint="cs"/>
          <w:noProof w:val="0"/>
          <w:rtl/>
        </w:rPr>
        <w:t>ם</w:t>
      </w:r>
      <w:r>
        <w:rPr>
          <w:rFonts w:ascii="Arial" w:hAnsi="Arial" w:hint="cs"/>
          <w:noProof w:val="0"/>
          <w:rtl/>
        </w:rPr>
        <w:t xml:space="preserve"> בתוך 15 יום. היקף הסיכומים העיקריים לא יעלה על 12 עמודים, וסיכומי התשובה לא יותר מ-4 עמודים. לסיכומים לא יצורף כל מסמך שהוא, ותיערך הפניה מדוייקת לכל מסמך</w:t>
      </w:r>
      <w:r w:rsidR="00CE740E">
        <w:rPr>
          <w:rFonts w:ascii="Arial" w:hAnsi="Arial" w:hint="cs"/>
          <w:noProof w:val="0"/>
          <w:rtl/>
        </w:rPr>
        <w:t>, אליו תהיה התייחסות</w:t>
      </w:r>
      <w:r>
        <w:rPr>
          <w:rFonts w:ascii="Arial" w:hAnsi="Arial" w:hint="cs"/>
          <w:noProof w:val="0"/>
          <w:rtl/>
        </w:rPr>
        <w:t>.</w:t>
      </w:r>
    </w:p>
    <w:p w:rsidR="00573490" w:rsidRDefault="00573490" w:rsidP="00CE740E">
      <w:pPr>
        <w:ind w:left="360"/>
        <w:jc w:val="both"/>
        <w:rPr>
          <w:rFonts w:ascii="Arial" w:hAnsi="Arial"/>
          <w:noProof w:val="0"/>
          <w:rtl/>
        </w:rPr>
      </w:pPr>
    </w:p>
    <w:p w:rsidR="00573490" w:rsidRPr="00573490" w:rsidRDefault="00573490" w:rsidP="00CE740E">
      <w:pPr>
        <w:spacing w:line="360" w:lineRule="auto"/>
        <w:ind w:left="360"/>
        <w:jc w:val="both"/>
        <w:rPr>
          <w:rFonts w:ascii="Arial" w:hAnsi="Arial"/>
          <w:b/>
          <w:bCs/>
          <w:noProof w:val="0"/>
          <w:u w:val="single"/>
          <w:rtl/>
        </w:rPr>
      </w:pPr>
      <w:r w:rsidRPr="00573490">
        <w:rPr>
          <w:rFonts w:ascii="Arial" w:hAnsi="Arial" w:hint="cs"/>
          <w:b/>
          <w:bCs/>
          <w:noProof w:val="0"/>
          <w:u w:val="single"/>
          <w:rtl/>
        </w:rPr>
        <w:t>המזכירות ת</w:t>
      </w:r>
      <w:r w:rsidR="00CE740E">
        <w:rPr>
          <w:rFonts w:ascii="Arial" w:hAnsi="Arial" w:hint="cs"/>
          <w:b/>
          <w:bCs/>
          <w:noProof w:val="0"/>
          <w:u w:val="single"/>
          <w:rtl/>
        </w:rPr>
        <w:t xml:space="preserve">דוור את </w:t>
      </w:r>
      <w:r w:rsidRPr="00573490">
        <w:rPr>
          <w:rFonts w:ascii="Arial" w:hAnsi="Arial" w:hint="cs"/>
          <w:b/>
          <w:bCs/>
          <w:noProof w:val="0"/>
          <w:u w:val="single"/>
          <w:rtl/>
        </w:rPr>
        <w:t xml:space="preserve">ההחלטה לב"כ הצדדים </w:t>
      </w:r>
      <w:r w:rsidR="00CE740E">
        <w:rPr>
          <w:rFonts w:ascii="Arial" w:hAnsi="Arial" w:hint="cs"/>
          <w:b/>
          <w:bCs/>
          <w:noProof w:val="0"/>
          <w:u w:val="single"/>
          <w:rtl/>
        </w:rPr>
        <w:t xml:space="preserve">לרבות </w:t>
      </w:r>
      <w:r w:rsidRPr="00573490">
        <w:rPr>
          <w:rFonts w:ascii="Arial" w:hAnsi="Arial" w:hint="cs"/>
          <w:b/>
          <w:bCs/>
          <w:noProof w:val="0"/>
          <w:u w:val="single"/>
          <w:rtl/>
        </w:rPr>
        <w:t xml:space="preserve">פרקליטות מחוז חיפה </w:t>
      </w:r>
      <w:r w:rsidRPr="00573490">
        <w:rPr>
          <w:rFonts w:ascii="Arial" w:hAnsi="Arial"/>
          <w:b/>
          <w:bCs/>
          <w:noProof w:val="0"/>
          <w:u w:val="single"/>
          <w:rtl/>
        </w:rPr>
        <w:t>–</w:t>
      </w:r>
      <w:r w:rsidR="00CE740E">
        <w:rPr>
          <w:rFonts w:ascii="Arial" w:hAnsi="Arial" w:hint="cs"/>
          <w:b/>
          <w:bCs/>
          <w:noProof w:val="0"/>
          <w:u w:val="single"/>
          <w:rtl/>
        </w:rPr>
        <w:t xml:space="preserve"> אזרחי, ולאחר מכן תסיר אותה כצד.</w:t>
      </w:r>
    </w:p>
    <w:p w:rsidR="00694556" w:rsidRPr="00DE1E7D" w:rsidRDefault="00694556" w:rsidP="00CE740E">
      <w:pPr>
        <w:jc w:val="both"/>
        <w:rPr>
          <w:rFonts w:ascii="Arial" w:hAnsi="Arial"/>
          <w:noProof w:val="0"/>
          <w:rtl/>
        </w:rPr>
      </w:pPr>
    </w:p>
    <w:p w:rsidR="00694556" w:rsidRDefault="0043502B" w:rsidP="00342CAF">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hint="cs"/>
              <w:noProof w:val="0"/>
              <w:rtl/>
            </w:rPr>
            <w:t>ג' שבט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25 ינואר 2023</w:t>
          </w:r>
        </w:sdtContent>
      </w:sdt>
      <w:r w:rsidR="00005C8B">
        <w:rPr>
          <w:rFonts w:ascii="Arial" w:hAnsi="Arial"/>
          <w:noProof w:val="0"/>
          <w:rtl/>
        </w:rPr>
        <w:t>, בהעדר הצדדים.</w:t>
      </w:r>
    </w:p>
    <w:p w:rsidR="00C43648" w:rsidRDefault="00284EA7"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676423903"/>
        </w:sdtPr>
        <w:sdtEndPr/>
        <w:sdtContent>
          <w:r w:rsidR="00384DD8">
            <w:drawing>
              <wp:inline distT="0" distB="0" distL="0" distR="0" wp14:editId="50D07946">
                <wp:extent cx="1457325" cy="1076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457325" cy="10763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1"/>
      <w:footerReference w:type="default" r:id="rId12"/>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4EA7" w:rsidRDefault="00284EA7">
      <w:r>
        <w:separator/>
      </w:r>
    </w:p>
  </w:endnote>
  <w:endnote w:type="continuationSeparator" w:id="0">
    <w:p w:rsidR="00284EA7" w:rsidRDefault="00284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riam">
    <w:panose1 w:val="020B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D00E3C">
      <w:rPr>
        <w:rStyle w:val="ab"/>
        <w:rFonts w:cs="Times New Roman"/>
        <w:rtl/>
      </w:rPr>
      <w:t>5</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D00E3C">
      <w:rPr>
        <w:rStyle w:val="ab"/>
        <w:rtl/>
      </w:rPr>
      <w:t>5</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4EA7" w:rsidRDefault="00284EA7">
      <w:r>
        <w:separator/>
      </w:r>
    </w:p>
  </w:footnote>
  <w:footnote w:type="continuationSeparator" w:id="0">
    <w:p w:rsidR="00284EA7" w:rsidRDefault="00284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1"/>
      <w:gridCol w:w="359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בקריות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284EA7">
          <w:pPr>
            <w:pStyle w:val="a3"/>
            <w:jc w:val="right"/>
            <w:rPr>
              <w:b/>
              <w:bCs/>
              <w:noProof w:val="0"/>
              <w:sz w:val="26"/>
              <w:szCs w:val="26"/>
              <w:rtl/>
            </w:rPr>
          </w:pPr>
          <w:sdt>
            <w:sdtPr>
              <w:rPr>
                <w:rtl/>
              </w:rPr>
              <w:alias w:val="1455"/>
              <w:tag w:val="1455"/>
              <w:id w:val="162365916"/>
              <w:text w:multiLine="1"/>
            </w:sdtPr>
            <w:sdtEndPr/>
            <w:sdtContent>
              <w:r w:rsidR="00342CAF">
                <w:rPr>
                  <w:rFonts w:ascii="Arial" w:hAnsi="Arial" w:hint="cs"/>
                  <w:noProof w:val="0"/>
                  <w:rtl/>
                </w:rPr>
                <w:t>ג' שבט תשפ"ג</w:t>
              </w:r>
            </w:sdtContent>
          </w:sdt>
          <w:r w:rsidR="00342CAF">
            <w:rPr>
              <w:rFonts w:ascii="Arial" w:hAnsi="Arial"/>
              <w:noProof w:val="0"/>
              <w:rtl/>
            </w:rPr>
            <w:t xml:space="preserve">, </w:t>
          </w:r>
          <w:sdt>
            <w:sdtPr>
              <w:rPr>
                <w:rtl/>
              </w:rPr>
              <w:alias w:val="1456"/>
              <w:tag w:val="1456"/>
              <w:id w:val="672305882"/>
              <w:text w:multiLine="1"/>
            </w:sdtPr>
            <w:sdtEndPr/>
            <w:sdtContent>
              <w:r w:rsidR="00342CAF">
                <w:rPr>
                  <w:rFonts w:ascii="Arial" w:hAnsi="Arial"/>
                  <w:noProof w:val="0"/>
                  <w:rtl/>
                </w:rPr>
                <w:t>25 ינואר 2023</w:t>
              </w:r>
            </w:sdtContent>
          </w:sdt>
        </w:p>
      </w:tc>
    </w:tr>
    <w:tr w:rsidR="00694556">
      <w:trPr>
        <w:trHeight w:val="337"/>
        <w:jc w:val="center"/>
      </w:trPr>
      <w:tc>
        <w:tcPr>
          <w:tcW w:w="8721" w:type="dxa"/>
          <w:gridSpan w:val="2"/>
        </w:tcPr>
        <w:p w:rsidR="007D45E3" w:rsidRDefault="00284EA7" w:rsidP="00F400AD">
          <w:pPr>
            <w:rPr>
              <w:b/>
              <w:bCs/>
              <w:noProof w:val="0"/>
              <w:sz w:val="26"/>
              <w:szCs w:val="26"/>
              <w:rtl/>
            </w:rPr>
          </w:pPr>
          <w:sdt>
            <w:sdtPr>
              <w:rPr>
                <w:rtl/>
              </w:rPr>
              <w:alias w:val="1170"/>
              <w:tag w:val="1170"/>
              <w:id w:val="1066377040"/>
              <w:text w:multiLine="1"/>
            </w:sdtPr>
            <w:sdtEndPr/>
            <w:sdtContent>
              <w:r w:rsidR="00897DAF">
                <w:rPr>
                  <w:b/>
                  <w:bCs/>
                  <w:noProof w:val="0"/>
                  <w:sz w:val="26"/>
                  <w:szCs w:val="26"/>
                  <w:rtl/>
                </w:rPr>
                <w:t>תמ"ש</w:t>
              </w:r>
            </w:sdtContent>
          </w:sdt>
          <w:r w:rsidR="00005C8B">
            <w:rPr>
              <w:b/>
              <w:bCs/>
              <w:noProof w:val="0"/>
              <w:sz w:val="26"/>
              <w:szCs w:val="26"/>
              <w:rtl/>
            </w:rPr>
            <w:t xml:space="preserve"> </w:t>
          </w:r>
          <w:sdt>
            <w:sdtPr>
              <w:rPr>
                <w:rtl/>
              </w:rPr>
              <w:alias w:val="1171"/>
              <w:tag w:val="1171"/>
              <w:id w:val="257034231"/>
              <w:text w:multiLine="1"/>
            </w:sdtPr>
            <w:sdtEndPr/>
            <w:sdtContent>
              <w:r w:rsidR="00897DAF">
                <w:rPr>
                  <w:b/>
                  <w:bCs/>
                  <w:noProof w:val="0"/>
                  <w:sz w:val="26"/>
                  <w:szCs w:val="26"/>
                  <w:rtl/>
                </w:rPr>
                <w:t>10778-08-20</w:t>
              </w:r>
            </w:sdtContent>
          </w:sdt>
          <w:r w:rsidR="00005C8B">
            <w:rPr>
              <w:b/>
              <w:bCs/>
              <w:noProof w:val="0"/>
              <w:sz w:val="26"/>
              <w:szCs w:val="26"/>
              <w:rtl/>
            </w:rPr>
            <w:t xml:space="preserve"> </w:t>
          </w:r>
          <w:sdt>
            <w:sdtPr>
              <w:rPr>
                <w:rtl/>
              </w:rPr>
              <w:alias w:val="1172"/>
              <w:tag w:val="1172"/>
              <w:id w:val="-595170033"/>
              <w:text w:multiLine="1"/>
            </w:sdtPr>
            <w:sdtEndPr/>
            <w:sdtContent>
              <w:r w:rsidR="00897DAF">
                <w:rPr>
                  <w:b/>
                  <w:bCs/>
                  <w:noProof w:val="0"/>
                  <w:sz w:val="26"/>
                  <w:szCs w:val="26"/>
                  <w:rtl/>
                </w:rPr>
                <w:t>ר</w:t>
              </w:r>
              <w:r w:rsidR="00F400AD">
                <w:rPr>
                  <w:rFonts w:hint="cs"/>
                  <w:b/>
                  <w:bCs/>
                  <w:noProof w:val="0"/>
                  <w:sz w:val="26"/>
                  <w:szCs w:val="26"/>
                  <w:rtl/>
                </w:rPr>
                <w:t>'</w:t>
              </w:r>
              <w:r w:rsidR="00897DAF">
                <w:rPr>
                  <w:b/>
                  <w:bCs/>
                  <w:noProof w:val="0"/>
                  <w:sz w:val="26"/>
                  <w:szCs w:val="26"/>
                  <w:rtl/>
                </w:rPr>
                <w:t xml:space="preserve"> נ' א</w:t>
              </w:r>
              <w:r w:rsidR="00F400AD">
                <w:rPr>
                  <w:rFonts w:hint="cs"/>
                  <w:b/>
                  <w:bCs/>
                  <w:noProof w:val="0"/>
                  <w:sz w:val="26"/>
                  <w:szCs w:val="26"/>
                  <w:rtl/>
                </w:rPr>
                <w:t>'</w:t>
              </w:r>
              <w:r w:rsidR="00897DAF">
                <w:rPr>
                  <w:b/>
                  <w:bCs/>
                  <w:noProof w:val="0"/>
                  <w:sz w:val="26"/>
                  <w:szCs w:val="26"/>
                  <w:rtl/>
                </w:rPr>
                <w:t xml:space="preserve"> ר</w:t>
              </w:r>
              <w:r w:rsidR="00F400AD">
                <w:rPr>
                  <w:rFonts w:hint="cs"/>
                  <w:b/>
                  <w:bCs/>
                  <w:noProof w:val="0"/>
                  <w:sz w:val="26"/>
                  <w:szCs w:val="26"/>
                  <w:rtl/>
                </w:rPr>
                <w:t>'</w:t>
              </w:r>
              <w:r w:rsidR="00897DAF">
                <w:rPr>
                  <w:b/>
                  <w:bCs/>
                  <w:noProof w:val="0"/>
                  <w:sz w:val="26"/>
                  <w:szCs w:val="26"/>
                  <w:rtl/>
                </w:rPr>
                <w:t xml:space="preserve"> ואח'</w:t>
              </w:r>
            </w:sdtContent>
          </w:sdt>
        </w:p>
        <w:p w:rsidR="007D45E3" w:rsidRPr="007B7765" w:rsidRDefault="007D45E3" w:rsidP="007D45E3">
          <w:pPr>
            <w:rPr>
              <w:b/>
              <w:bCs/>
              <w:noProof w:val="0"/>
              <w:sz w:val="2"/>
              <w:szCs w:val="2"/>
              <w:rtl/>
            </w:rPr>
          </w:pPr>
        </w:p>
        <w:p w:rsidR="008D10B2" w:rsidRPr="00E1068A" w:rsidRDefault="007D45E3" w:rsidP="00607A57">
          <w:pPr>
            <w:rPr>
              <w:sz w:val="20"/>
              <w:szCs w:val="20"/>
              <w:rtl/>
            </w:rPr>
          </w:pPr>
          <w:r>
            <w:rPr>
              <w:rFonts w:hint="cs"/>
              <w:rtl/>
            </w:rPr>
            <w:t xml:space="preserve">                           </w:t>
          </w:r>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351F8F"/>
    <w:multiLevelType w:val="hybridMultilevel"/>
    <w:tmpl w:val="D8E6A4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229A1"/>
    <w:rsid w:val="000438FF"/>
    <w:rsid w:val="00052200"/>
    <w:rsid w:val="000529D2"/>
    <w:rsid w:val="000564AB"/>
    <w:rsid w:val="00064FBD"/>
    <w:rsid w:val="00082AB2"/>
    <w:rsid w:val="000906FE"/>
    <w:rsid w:val="00096AF7"/>
    <w:rsid w:val="000B344B"/>
    <w:rsid w:val="000C3B0F"/>
    <w:rsid w:val="000C3B60"/>
    <w:rsid w:val="000E0DD2"/>
    <w:rsid w:val="000E3AF1"/>
    <w:rsid w:val="000F0BC8"/>
    <w:rsid w:val="000F0DD6"/>
    <w:rsid w:val="000F5761"/>
    <w:rsid w:val="00107E6D"/>
    <w:rsid w:val="0011194C"/>
    <w:rsid w:val="0011424C"/>
    <w:rsid w:val="001173C6"/>
    <w:rsid w:val="0011783C"/>
    <w:rsid w:val="00122C1D"/>
    <w:rsid w:val="001367BC"/>
    <w:rsid w:val="00144D2A"/>
    <w:rsid w:val="0014653E"/>
    <w:rsid w:val="00180519"/>
    <w:rsid w:val="00191C82"/>
    <w:rsid w:val="001C4003"/>
    <w:rsid w:val="001D4DBF"/>
    <w:rsid w:val="001E75CA"/>
    <w:rsid w:val="002265FF"/>
    <w:rsid w:val="00234943"/>
    <w:rsid w:val="00271B56"/>
    <w:rsid w:val="00284EA7"/>
    <w:rsid w:val="002C344E"/>
    <w:rsid w:val="002C3F4A"/>
    <w:rsid w:val="002E75E9"/>
    <w:rsid w:val="00303695"/>
    <w:rsid w:val="00307A6A"/>
    <w:rsid w:val="00307C40"/>
    <w:rsid w:val="00320433"/>
    <w:rsid w:val="003208BC"/>
    <w:rsid w:val="003230C7"/>
    <w:rsid w:val="00324FDA"/>
    <w:rsid w:val="00327E50"/>
    <w:rsid w:val="0033597A"/>
    <w:rsid w:val="00342CAF"/>
    <w:rsid w:val="00343D89"/>
    <w:rsid w:val="003462BD"/>
    <w:rsid w:val="00362612"/>
    <w:rsid w:val="0036743F"/>
    <w:rsid w:val="003715DD"/>
    <w:rsid w:val="003823E0"/>
    <w:rsid w:val="00384DD8"/>
    <w:rsid w:val="003A4521"/>
    <w:rsid w:val="003D1C8C"/>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73490"/>
    <w:rsid w:val="005F4F09"/>
    <w:rsid w:val="00607A57"/>
    <w:rsid w:val="0061431B"/>
    <w:rsid w:val="00622BAA"/>
    <w:rsid w:val="006306CF"/>
    <w:rsid w:val="00644E9A"/>
    <w:rsid w:val="00670EAC"/>
    <w:rsid w:val="00671BD5"/>
    <w:rsid w:val="006805C1"/>
    <w:rsid w:val="006847C7"/>
    <w:rsid w:val="00686C21"/>
    <w:rsid w:val="006931C1"/>
    <w:rsid w:val="00694556"/>
    <w:rsid w:val="006C30C5"/>
    <w:rsid w:val="006C4820"/>
    <w:rsid w:val="006D3B31"/>
    <w:rsid w:val="006E0D96"/>
    <w:rsid w:val="006E1A53"/>
    <w:rsid w:val="006F56E6"/>
    <w:rsid w:val="00704EDA"/>
    <w:rsid w:val="00721122"/>
    <w:rsid w:val="00735365"/>
    <w:rsid w:val="00753019"/>
    <w:rsid w:val="00754801"/>
    <w:rsid w:val="00761441"/>
    <w:rsid w:val="00761460"/>
    <w:rsid w:val="00795365"/>
    <w:rsid w:val="007A351D"/>
    <w:rsid w:val="007B7765"/>
    <w:rsid w:val="007C1190"/>
    <w:rsid w:val="007C28CC"/>
    <w:rsid w:val="007C5BDD"/>
    <w:rsid w:val="007D45E3"/>
    <w:rsid w:val="007E6115"/>
    <w:rsid w:val="007F4609"/>
    <w:rsid w:val="00814468"/>
    <w:rsid w:val="008176A1"/>
    <w:rsid w:val="00820005"/>
    <w:rsid w:val="00832434"/>
    <w:rsid w:val="00844318"/>
    <w:rsid w:val="0086061C"/>
    <w:rsid w:val="00863F5D"/>
    <w:rsid w:val="00870890"/>
    <w:rsid w:val="00873602"/>
    <w:rsid w:val="00875D12"/>
    <w:rsid w:val="00881CCE"/>
    <w:rsid w:val="0088479D"/>
    <w:rsid w:val="00896889"/>
    <w:rsid w:val="00897DAF"/>
    <w:rsid w:val="008B0461"/>
    <w:rsid w:val="008C5714"/>
    <w:rsid w:val="008D10B2"/>
    <w:rsid w:val="00903896"/>
    <w:rsid w:val="00906F3D"/>
    <w:rsid w:val="0091779B"/>
    <w:rsid w:val="0094424E"/>
    <w:rsid w:val="00955642"/>
    <w:rsid w:val="009622DF"/>
    <w:rsid w:val="0096493F"/>
    <w:rsid w:val="00967DFF"/>
    <w:rsid w:val="00994341"/>
    <w:rsid w:val="00996935"/>
    <w:rsid w:val="009C607F"/>
    <w:rsid w:val="009D1A48"/>
    <w:rsid w:val="009E1CE7"/>
    <w:rsid w:val="009E4EA5"/>
    <w:rsid w:val="009F164B"/>
    <w:rsid w:val="009F323C"/>
    <w:rsid w:val="00A3392B"/>
    <w:rsid w:val="00A3699C"/>
    <w:rsid w:val="00A85E34"/>
    <w:rsid w:val="00A94B64"/>
    <w:rsid w:val="00AA3229"/>
    <w:rsid w:val="00AA7596"/>
    <w:rsid w:val="00AA7E72"/>
    <w:rsid w:val="00AB5E52"/>
    <w:rsid w:val="00AC1527"/>
    <w:rsid w:val="00AC30D6"/>
    <w:rsid w:val="00AC3B02"/>
    <w:rsid w:val="00AC3B7B"/>
    <w:rsid w:val="00AC5209"/>
    <w:rsid w:val="00AE0E34"/>
    <w:rsid w:val="00AE729E"/>
    <w:rsid w:val="00AE7752"/>
    <w:rsid w:val="00AF7FDA"/>
    <w:rsid w:val="00B5356E"/>
    <w:rsid w:val="00B809AD"/>
    <w:rsid w:val="00B80CBD"/>
    <w:rsid w:val="00B86096"/>
    <w:rsid w:val="00B964D9"/>
    <w:rsid w:val="00BA0A7C"/>
    <w:rsid w:val="00BA517C"/>
    <w:rsid w:val="00BB3D05"/>
    <w:rsid w:val="00BB73BE"/>
    <w:rsid w:val="00BC2D89"/>
    <w:rsid w:val="00BC3D03"/>
    <w:rsid w:val="00BD6531"/>
    <w:rsid w:val="00BE05B2"/>
    <w:rsid w:val="00BF1908"/>
    <w:rsid w:val="00C22D93"/>
    <w:rsid w:val="00C23458"/>
    <w:rsid w:val="00C31120"/>
    <w:rsid w:val="00C34482"/>
    <w:rsid w:val="00C43648"/>
    <w:rsid w:val="00C50A9F"/>
    <w:rsid w:val="00C642FA"/>
    <w:rsid w:val="00C740D7"/>
    <w:rsid w:val="00CC7622"/>
    <w:rsid w:val="00CD608F"/>
    <w:rsid w:val="00CE740E"/>
    <w:rsid w:val="00CF6BB7"/>
    <w:rsid w:val="00D00E3C"/>
    <w:rsid w:val="00D04AA4"/>
    <w:rsid w:val="00D27982"/>
    <w:rsid w:val="00D33B86"/>
    <w:rsid w:val="00D44968"/>
    <w:rsid w:val="00D53924"/>
    <w:rsid w:val="00D55D0C"/>
    <w:rsid w:val="00D96D8C"/>
    <w:rsid w:val="00DA6649"/>
    <w:rsid w:val="00DB1BC0"/>
    <w:rsid w:val="00DC1259"/>
    <w:rsid w:val="00DC1BD2"/>
    <w:rsid w:val="00DC2571"/>
    <w:rsid w:val="00DC461A"/>
    <w:rsid w:val="00DC487C"/>
    <w:rsid w:val="00DE1E7D"/>
    <w:rsid w:val="00DE6BF6"/>
    <w:rsid w:val="00E04E84"/>
    <w:rsid w:val="00E1068A"/>
    <w:rsid w:val="00E25884"/>
    <w:rsid w:val="00E25B55"/>
    <w:rsid w:val="00E31C2B"/>
    <w:rsid w:val="00E43E44"/>
    <w:rsid w:val="00E5426A"/>
    <w:rsid w:val="00E54642"/>
    <w:rsid w:val="00E54CD9"/>
    <w:rsid w:val="00E80CBE"/>
    <w:rsid w:val="00E86EA7"/>
    <w:rsid w:val="00E962E3"/>
    <w:rsid w:val="00E968D6"/>
    <w:rsid w:val="00EB6C79"/>
    <w:rsid w:val="00EC37E9"/>
    <w:rsid w:val="00F038D8"/>
    <w:rsid w:val="00F061D3"/>
    <w:rsid w:val="00F06995"/>
    <w:rsid w:val="00F13623"/>
    <w:rsid w:val="00F400AD"/>
    <w:rsid w:val="00F44D1D"/>
    <w:rsid w:val="00F80AC0"/>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
    <w:name w:val="heading 5"/>
    <w:basedOn w:val="a"/>
    <w:next w:val="a"/>
    <w:link w:val="50"/>
    <w:semiHidden/>
    <w:unhideWhenUsed/>
    <w:qFormat/>
    <w:rsid w:val="00573490"/>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E968D6"/>
    <w:pPr>
      <w:ind w:left="720"/>
      <w:contextualSpacing/>
    </w:pPr>
  </w:style>
  <w:style w:type="paragraph" w:customStyle="1" w:styleId="P00">
    <w:name w:val="P00"/>
    <w:link w:val="P000"/>
    <w:rsid w:val="009C607F"/>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ind w:left="2835"/>
      <w:jc w:val="both"/>
    </w:pPr>
    <w:rPr>
      <w:noProof/>
      <w:szCs w:val="26"/>
      <w:lang w:eastAsia="he-IL"/>
    </w:rPr>
  </w:style>
  <w:style w:type="paragraph" w:customStyle="1" w:styleId="P22">
    <w:name w:val="P22"/>
    <w:basedOn w:val="P00"/>
    <w:rsid w:val="009C607F"/>
    <w:pPr>
      <w:tabs>
        <w:tab w:val="clear" w:pos="624"/>
        <w:tab w:val="clear" w:pos="1021"/>
      </w:tabs>
      <w:ind w:right="1021"/>
    </w:pPr>
  </w:style>
  <w:style w:type="character" w:customStyle="1" w:styleId="default">
    <w:name w:val="default"/>
    <w:rsid w:val="009C607F"/>
    <w:rPr>
      <w:rFonts w:ascii="Times New Roman" w:hAnsi="Times New Roman" w:cs="Times New Roman"/>
      <w:sz w:val="26"/>
      <w:szCs w:val="26"/>
    </w:rPr>
  </w:style>
  <w:style w:type="character" w:customStyle="1" w:styleId="big-number">
    <w:name w:val="big-number"/>
    <w:rsid w:val="009C607F"/>
    <w:rPr>
      <w:rFonts w:ascii="Times New Roman" w:hAnsi="Times New Roman" w:cs="Miriam"/>
      <w:sz w:val="32"/>
      <w:szCs w:val="32"/>
    </w:rPr>
  </w:style>
  <w:style w:type="character" w:styleId="Hyperlink">
    <w:name w:val="Hyperlink"/>
    <w:rsid w:val="009C607F"/>
    <w:rPr>
      <w:color w:val="0000FF"/>
      <w:u w:val="single"/>
    </w:rPr>
  </w:style>
  <w:style w:type="paragraph" w:styleId="ae">
    <w:name w:val="footnote text"/>
    <w:basedOn w:val="a"/>
    <w:link w:val="af"/>
    <w:semiHidden/>
    <w:rsid w:val="009C607F"/>
    <w:pPr>
      <w:autoSpaceDE w:val="0"/>
      <w:autoSpaceDN w:val="0"/>
      <w:spacing w:line="360" w:lineRule="auto"/>
      <w:jc w:val="both"/>
    </w:pPr>
    <w:rPr>
      <w:rFonts w:cs="Times New Roman"/>
      <w:noProof w:val="0"/>
      <w:sz w:val="20"/>
      <w:szCs w:val="20"/>
      <w:lang w:eastAsia="he-IL"/>
    </w:rPr>
  </w:style>
  <w:style w:type="character" w:customStyle="1" w:styleId="af">
    <w:name w:val="טקסט הערת שוליים תו"/>
    <w:basedOn w:val="a0"/>
    <w:link w:val="ae"/>
    <w:semiHidden/>
    <w:rsid w:val="009C607F"/>
    <w:rPr>
      <w:lang w:eastAsia="he-IL"/>
    </w:rPr>
  </w:style>
  <w:style w:type="character" w:styleId="af0">
    <w:name w:val="footnote reference"/>
    <w:semiHidden/>
    <w:rsid w:val="009C607F"/>
    <w:rPr>
      <w:vertAlign w:val="superscript"/>
    </w:rPr>
  </w:style>
  <w:style w:type="character" w:customStyle="1" w:styleId="P000">
    <w:name w:val="P00 תו"/>
    <w:link w:val="P00"/>
    <w:rsid w:val="009C607F"/>
    <w:rPr>
      <w:noProof/>
      <w:szCs w:val="26"/>
      <w:lang w:eastAsia="he-IL"/>
    </w:rPr>
  </w:style>
  <w:style w:type="character" w:customStyle="1" w:styleId="50">
    <w:name w:val="כותרת 5 תו"/>
    <w:basedOn w:val="a0"/>
    <w:link w:val="5"/>
    <w:semiHidden/>
    <w:rsid w:val="00573490"/>
    <w:rPr>
      <w:rFonts w:asciiTheme="majorHAnsi" w:eastAsiaTheme="majorEastAsia" w:hAnsiTheme="majorHAnsi" w:cstheme="majorBidi"/>
      <w:noProof/>
      <w:color w:val="365F91"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786690">
      <w:bodyDiv w:val="1"/>
      <w:marLeft w:val="0"/>
      <w:marRight w:val="0"/>
      <w:marTop w:val="0"/>
      <w:marBottom w:val="0"/>
      <w:divBdr>
        <w:top w:val="none" w:sz="0" w:space="0" w:color="auto"/>
        <w:left w:val="none" w:sz="0" w:space="0" w:color="auto"/>
        <w:bottom w:val="none" w:sz="0" w:space="0" w:color="auto"/>
        <w:right w:val="none" w:sz="0" w:space="0" w:color="auto"/>
      </w:divBdr>
    </w:div>
    <w:div w:id="899946450">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Law_word/law14/LAW-1663.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settings" Target="settings.xml"/><Relationship Id="rId9" Type="http://schemas.openxmlformats.org/officeDocument/2006/relationships/hyperlink" Target="http://www.nevo.co.il/Law_word/law17/PROP-2596.pdf" TargetMode="Externa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8D1806" w:rsidP="008D1806">
          <w:pPr>
            <w:pStyle w:val="E460D38E05664FF79D4EFF282EF8EC9925"/>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riam">
    <w:panose1 w:val="020B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D02C4"/>
    <w:rsid w:val="00345C9D"/>
    <w:rsid w:val="00405FEA"/>
    <w:rsid w:val="004745AE"/>
    <w:rsid w:val="0048651F"/>
    <w:rsid w:val="005157ED"/>
    <w:rsid w:val="00556D67"/>
    <w:rsid w:val="00746837"/>
    <w:rsid w:val="00793995"/>
    <w:rsid w:val="007C6F98"/>
    <w:rsid w:val="007E254A"/>
    <w:rsid w:val="0086433F"/>
    <w:rsid w:val="008B4366"/>
    <w:rsid w:val="008D1806"/>
    <w:rsid w:val="009133C7"/>
    <w:rsid w:val="009178E4"/>
    <w:rsid w:val="00961B27"/>
    <w:rsid w:val="00990020"/>
    <w:rsid w:val="00AA7CE3"/>
    <w:rsid w:val="00B42D7E"/>
    <w:rsid w:val="00B45677"/>
    <w:rsid w:val="00B91FA3"/>
    <w:rsid w:val="00BE6557"/>
    <w:rsid w:val="00C96C06"/>
    <w:rsid w:val="00E31BF6"/>
    <w:rsid w:val="00E566FB"/>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D180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1389</Words>
  <Characters>6946</Characters>
  <Application>Microsoft Office Word</Application>
  <DocSecurity>0</DocSecurity>
  <Lines>57</Lines>
  <Paragraphs>16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2023-05-09T09:44:00Z</dcterms:created>
  <dcterms:modified xsi:type="dcterms:W3CDTF">2023-05-09T09:44:00Z</dcterms:modified>
</cp:coreProperties>
</file>